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3C" w:rsidRDefault="00AB683C">
      <w:pPr>
        <w:spacing w:line="336" w:lineRule="auto"/>
        <w:jc w:val="center"/>
        <w:rPr>
          <w:rFonts w:ascii="方正小标宋简体" w:eastAsia="方正小标宋简体" w:hAnsi="方正小标宋简体" w:cs="方正小标宋简体"/>
          <w:spacing w:val="-20"/>
          <w:sz w:val="44"/>
          <w:szCs w:val="44"/>
        </w:rPr>
      </w:pPr>
    </w:p>
    <w:p w:rsidR="00AB683C" w:rsidRDefault="00AB683C">
      <w:pPr>
        <w:spacing w:line="336" w:lineRule="auto"/>
        <w:jc w:val="center"/>
        <w:rPr>
          <w:rFonts w:ascii="方正小标宋简体" w:eastAsia="方正小标宋简体" w:hAnsi="方正小标宋简体"/>
          <w:spacing w:val="-20"/>
          <w:sz w:val="44"/>
          <w:szCs w:val="44"/>
        </w:rPr>
      </w:pPr>
      <w:r>
        <w:rPr>
          <w:rFonts w:ascii="方正小标宋简体" w:eastAsia="方正小标宋简体" w:hAnsi="方正小标宋简体" w:cs="方正小标宋简体" w:hint="eastAsia"/>
          <w:spacing w:val="-20"/>
          <w:sz w:val="44"/>
          <w:szCs w:val="44"/>
        </w:rPr>
        <w:t>广东证券期货业协会</w:t>
      </w:r>
      <w:r>
        <w:rPr>
          <w:rFonts w:ascii="方正小标宋简体" w:eastAsia="方正小标宋简体" w:hAnsi="方正小标宋简体" w:cs="方正小标宋简体"/>
          <w:spacing w:val="-20"/>
          <w:sz w:val="44"/>
          <w:szCs w:val="44"/>
        </w:rPr>
        <w:t>2019</w:t>
      </w:r>
      <w:r>
        <w:rPr>
          <w:rFonts w:ascii="方正小标宋简体" w:eastAsia="方正小标宋简体" w:hAnsi="方正小标宋简体" w:cs="方正小标宋简体" w:hint="eastAsia"/>
          <w:spacing w:val="-20"/>
          <w:sz w:val="44"/>
          <w:szCs w:val="44"/>
        </w:rPr>
        <w:t>年工作报告</w:t>
      </w:r>
    </w:p>
    <w:p w:rsidR="00AB683C" w:rsidRPr="00B76BA2" w:rsidRDefault="00AB683C" w:rsidP="007737D9">
      <w:pPr>
        <w:spacing w:line="336" w:lineRule="auto"/>
        <w:jc w:val="center"/>
        <w:rPr>
          <w:rFonts w:ascii="仿宋_GB2312" w:eastAsia="仿宋_GB2312" w:hAnsi="仿宋_GB2312" w:cs="仿宋_GB2312"/>
          <w:sz w:val="32"/>
          <w:szCs w:val="32"/>
        </w:rPr>
      </w:pPr>
      <w:r w:rsidRPr="00B76BA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日第七届理事会第三次会议表决通过</w:t>
      </w:r>
      <w:r w:rsidRPr="00B76BA2">
        <w:rPr>
          <w:rFonts w:ascii="仿宋_GB2312" w:eastAsia="仿宋_GB2312" w:hAnsi="仿宋_GB2312" w:cs="仿宋_GB2312" w:hint="eastAsia"/>
          <w:sz w:val="32"/>
          <w:szCs w:val="32"/>
        </w:rPr>
        <w:t>）</w:t>
      </w:r>
      <w:bookmarkStart w:id="0" w:name="_GoBack"/>
      <w:bookmarkEnd w:id="0"/>
    </w:p>
    <w:p w:rsidR="00AB683C" w:rsidRDefault="00AB683C">
      <w:pPr>
        <w:jc w:val="center"/>
        <w:rPr>
          <w:rFonts w:ascii="方正小标宋简体" w:eastAsia="方正小标宋简体" w:hAnsi="方正小标宋简体" w:cs="方正小标宋简体"/>
          <w:spacing w:val="-20"/>
          <w:sz w:val="44"/>
          <w:szCs w:val="44"/>
        </w:rPr>
      </w:pPr>
    </w:p>
    <w:p w:rsidR="00AB683C" w:rsidRDefault="00AB683C">
      <w:pPr>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各位理事、监事：</w:t>
      </w:r>
    </w:p>
    <w:p w:rsidR="00AB683C" w:rsidRDefault="00AB683C">
      <w:pPr>
        <w:spacing w:line="336" w:lineRule="auto"/>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现在，我代表广东证券期货业协会（以下简称“协会”）向理事会作工作报告，请予审议。</w:t>
      </w:r>
    </w:p>
    <w:p w:rsidR="00AB683C" w:rsidRDefault="00AB683C">
      <w:pPr>
        <w:spacing w:line="336" w:lineRule="auto"/>
        <w:jc w:val="center"/>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bCs/>
          <w:sz w:val="32"/>
          <w:szCs w:val="32"/>
        </w:rPr>
        <w:t xml:space="preserve"> 2019</w:t>
      </w:r>
      <w:r>
        <w:rPr>
          <w:rFonts w:ascii="黑体" w:eastAsia="黑体" w:hAnsi="黑体" w:hint="eastAsia"/>
          <w:bCs/>
          <w:sz w:val="32"/>
          <w:szCs w:val="32"/>
        </w:rPr>
        <w:t>年工作回顾</w:t>
      </w:r>
    </w:p>
    <w:p w:rsidR="00AB683C" w:rsidRDefault="00AB683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年，协会在广东证监局的指导下，在理事会和全体会员的支持下，在监事会的监督下，圆满完成第六届理事会第十四次会议和第七届会员代表大会第一次会议通过的协会</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年主要工作计划。</w:t>
      </w:r>
    </w:p>
    <w:p w:rsidR="00AB683C" w:rsidRDefault="00AB683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一年来，协会主要开展了以下工作：</w:t>
      </w:r>
    </w:p>
    <w:p w:rsidR="00AB683C" w:rsidRDefault="00AB683C">
      <w:pPr>
        <w:spacing w:line="336" w:lineRule="auto"/>
        <w:ind w:firstLineChars="200" w:firstLine="640"/>
        <w:rPr>
          <w:rFonts w:ascii="黑体" w:eastAsia="黑体" w:hAnsi="黑体"/>
          <w:bCs/>
          <w:sz w:val="32"/>
          <w:szCs w:val="32"/>
        </w:rPr>
      </w:pPr>
      <w:r>
        <w:rPr>
          <w:rFonts w:ascii="黑体" w:eastAsia="黑体" w:hAnsi="黑体" w:hint="eastAsia"/>
          <w:bCs/>
          <w:sz w:val="32"/>
          <w:szCs w:val="32"/>
        </w:rPr>
        <w:t>一、组织召开理事会和会员代表大会等工作会议，研究部署协会各项工作，并胜利完成换届选举工作</w:t>
      </w:r>
    </w:p>
    <w:p w:rsidR="00AB683C" w:rsidRDefault="00AB683C">
      <w:pPr>
        <w:spacing w:line="336" w:lineRule="auto"/>
        <w:ind w:firstLineChars="200" w:firstLine="640"/>
        <w:rPr>
          <w:rFonts w:ascii="楷体_GB2312" w:eastAsia="楷体_GB2312" w:hAnsi="楷体_GB2312" w:cs="楷体_GB2312"/>
          <w:bCs/>
          <w:sz w:val="32"/>
          <w:szCs w:val="32"/>
        </w:rPr>
        <w:sectPr w:rsidR="00AB683C">
          <w:headerReference w:type="default" r:id="rId6"/>
          <w:pgSz w:w="11906" w:h="16838"/>
          <w:pgMar w:top="2098" w:right="1474" w:bottom="1984" w:left="1587" w:header="851" w:footer="1587" w:gutter="0"/>
          <w:pgNumType w:fmt="numberInDash"/>
          <w:cols w:space="0"/>
          <w:docGrid w:type="lines" w:linePitch="312"/>
        </w:sectPr>
      </w:pPr>
    </w:p>
    <w:p w:rsidR="00AB683C" w:rsidRDefault="00AB683C">
      <w:pPr>
        <w:spacing w:line="336" w:lineRule="auto"/>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（一）召开第七届会员代表大会第一次会议。</w:t>
      </w:r>
      <w:r>
        <w:rPr>
          <w:rFonts w:ascii="仿宋_GB2312" w:eastAsia="仿宋_GB2312" w:hAnsi="仿宋_GB2312" w:cs="仿宋_GB2312"/>
          <w:bCs/>
          <w:sz w:val="32"/>
          <w:szCs w:val="32"/>
        </w:rPr>
        <w:t>6</w:t>
      </w:r>
      <w:r>
        <w:rPr>
          <w:rFonts w:ascii="仿宋_GB2312" w:eastAsia="仿宋_GB2312" w:hAnsi="仿宋_GB2312" w:cs="仿宋_GB2312" w:hint="eastAsia"/>
          <w:bCs/>
          <w:sz w:val="32"/>
          <w:szCs w:val="32"/>
        </w:rPr>
        <w:t>月</w:t>
      </w:r>
      <w:r>
        <w:rPr>
          <w:rFonts w:ascii="仿宋_GB2312" w:eastAsia="仿宋_GB2312" w:hAnsi="仿宋_GB2312" w:cs="仿宋_GB2312"/>
          <w:bCs/>
          <w:sz w:val="32"/>
          <w:szCs w:val="32"/>
        </w:rPr>
        <w:t>13</w:t>
      </w:r>
      <w:r>
        <w:rPr>
          <w:rFonts w:ascii="仿宋_GB2312" w:eastAsia="仿宋_GB2312" w:hAnsi="仿宋_GB2312" w:cs="仿宋_GB2312" w:hint="eastAsia"/>
          <w:bCs/>
          <w:sz w:val="32"/>
          <w:szCs w:val="32"/>
        </w:rPr>
        <w:t>日，召开第七届会员代表大会第一次会议，广东证监局党委委员、副局长曹子海同志出席会议并讲话。会议审议通过了《广东证券期货业协会第六届理事会工作报告》《广东证券期货业协会第六届监事会工作报告》《广东证券期货业协会第六届财务工作报告》，表决通过了《广东证券期货业协会会员公约》《第七届会员代表大会第一次会议选举办法》和《广东证券期货业协会章程》，选举产生了第七届理事会和监事会。</w:t>
      </w:r>
    </w:p>
    <w:p w:rsidR="00AB683C" w:rsidRDefault="00AB683C">
      <w:pPr>
        <w:spacing w:line="336"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（二）召开第六届理事会暨监事会第十三次、十四次会议及第七届理事会暨监事会第一次、第二次会议。</w:t>
      </w:r>
      <w:r>
        <w:rPr>
          <w:rFonts w:ascii="仿宋_GB2312" w:eastAsia="仿宋_GB2312" w:hAnsi="仿宋_GB2312" w:cs="仿宋_GB2312" w:hint="eastAsia"/>
          <w:sz w:val="32"/>
          <w:szCs w:val="32"/>
        </w:rPr>
        <w:t>四次理事会暨监事会先后审议通过了相关工作报告、财务预决算报告、</w:t>
      </w:r>
      <w:r>
        <w:rPr>
          <w:rFonts w:ascii="仿宋_GB2312" w:eastAsia="仿宋_GB2312" w:hAnsi="仿宋_GB2312" w:cs="仿宋_GB2312" w:hint="eastAsia"/>
          <w:color w:val="000000"/>
          <w:sz w:val="32"/>
          <w:szCs w:val="32"/>
        </w:rPr>
        <w:t>《广东证券期货业协会章程（修改草案）》及说明、《广东证券期货业协会会员公约（草案）》《广东证券期货业协会会员代表大会会员代表产生办法》</w:t>
      </w:r>
      <w:r>
        <w:rPr>
          <w:rFonts w:ascii="仿宋_GB2312" w:eastAsia="仿宋_GB2312" w:hAnsi="仿宋_GB2312" w:cs="仿宋_GB2312" w:hint="eastAsia"/>
          <w:sz w:val="32"/>
          <w:szCs w:val="32"/>
        </w:rPr>
        <w:t>《广东证券期货业协会第七届专业委员会成员名单》</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sz w:val="32"/>
          <w:szCs w:val="32"/>
        </w:rPr>
        <w:t>，授权秘书处筹备第七届会员代表大会第一次会议相关工作，并听取工作情况汇报，决定聘任协会秘书长、副秘书长及顾问名单，完善秘书处组织建设，确保秘书处日常工作有序开展。</w:t>
      </w:r>
    </w:p>
    <w:p w:rsidR="00AB683C" w:rsidRDefault="00AB683C">
      <w:pPr>
        <w:spacing w:line="336"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（三）召开辖区第八次地方协会工作座谈会。</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日，组织辖区地方协会在佛山召开了第八次工作座谈会。会议介绍了协会</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年工作计划，交流了各地方协会办会情况，总结分享了</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年各自工作成果和工作经验，阐述了</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年工作要点，并就协会与各地方协会</w:t>
      </w:r>
      <w:r>
        <w:rPr>
          <w:rFonts w:ascii="仿宋_GB2312" w:eastAsia="仿宋_GB2312" w:hAnsi="仿宋" w:hint="eastAsia"/>
          <w:sz w:val="32"/>
          <w:szCs w:val="32"/>
        </w:rPr>
        <w:t>协作开展行业党建工作、举办反洗钱培训、建设省级投教基地等工作提出了切实可行的意见和建议</w:t>
      </w:r>
      <w:r>
        <w:rPr>
          <w:rFonts w:ascii="仿宋_GB2312" w:eastAsia="仿宋_GB2312" w:hAnsi="仿宋_GB2312" w:cs="仿宋_GB2312" w:hint="eastAsia"/>
          <w:sz w:val="32"/>
          <w:szCs w:val="32"/>
        </w:rPr>
        <w:t>。</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hint="eastAsia"/>
          <w:bCs/>
          <w:sz w:val="32"/>
          <w:szCs w:val="32"/>
        </w:rPr>
        <w:t>二、充分发挥协会自律管理职能，强化会员单位合规经营意识和自我规范水平。</w:t>
      </w:r>
      <w:r>
        <w:rPr>
          <w:rFonts w:ascii="仿宋_GB2312" w:eastAsia="仿宋_GB2312" w:hAnsi="仿宋_GB2312" w:cs="仿宋_GB2312" w:hint="eastAsia"/>
          <w:sz w:val="32"/>
          <w:szCs w:val="32"/>
        </w:rPr>
        <w:t>以证券公司分支机构分类监管自律评价为切入点，通过开展各片区宣讲活动和现场检查工作，不断督促辖区证券期货经营机构提升合规管理水平。</w:t>
      </w:r>
    </w:p>
    <w:p w:rsidR="00AB683C" w:rsidRDefault="00AB683C">
      <w:pPr>
        <w:spacing w:line="336" w:lineRule="auto"/>
        <w:ind w:firstLineChars="200" w:firstLine="640"/>
        <w:rPr>
          <w:rFonts w:ascii="仿宋_GB2312" w:eastAsia="仿宋_GB2312" w:hAnsi="仿宋"/>
          <w:sz w:val="32"/>
          <w:szCs w:val="32"/>
        </w:rPr>
      </w:pPr>
      <w:r>
        <w:rPr>
          <w:rFonts w:ascii="楷体_GB2312" w:eastAsia="楷体_GB2312" w:hAnsi="楷体_GB2312" w:cs="楷体_GB2312" w:hint="eastAsia"/>
          <w:sz w:val="32"/>
          <w:szCs w:val="32"/>
        </w:rPr>
        <w:t>（一）深入各片区开展《会员公约》宣讲活动，系牢自律管理准绳。</w:t>
      </w:r>
      <w:r>
        <w:rPr>
          <w:rFonts w:ascii="仿宋_GB2312" w:eastAsia="仿宋_GB2312" w:hAnsi="仿宋" w:hint="eastAsia"/>
          <w:sz w:val="32"/>
          <w:szCs w:val="32"/>
        </w:rPr>
        <w:t>《会员公约》提交会员代表大会审议通过后，组织工作人员编写课件，录制宣讲视频，结合监管案例分片区对《会员公约》进行解读，并对</w:t>
      </w:r>
      <w:r>
        <w:rPr>
          <w:rFonts w:ascii="仿宋_GB2312" w:eastAsia="仿宋_GB2312" w:hAnsi="仿宋"/>
          <w:sz w:val="32"/>
          <w:szCs w:val="32"/>
        </w:rPr>
        <w:t>2018</w:t>
      </w:r>
      <w:r>
        <w:rPr>
          <w:rFonts w:ascii="仿宋_GB2312" w:eastAsia="仿宋_GB2312" w:hAnsi="仿宋" w:hint="eastAsia"/>
          <w:sz w:val="32"/>
          <w:szCs w:val="32"/>
        </w:rPr>
        <w:t>年证券公司分支机构分类监管自律评价现场检查中发现的</w:t>
      </w:r>
      <w:r>
        <w:rPr>
          <w:rFonts w:ascii="仿宋_GB2312" w:eastAsia="仿宋_GB2312" w:hAnsi="仿宋"/>
          <w:sz w:val="32"/>
          <w:szCs w:val="32"/>
        </w:rPr>
        <w:t>17</w:t>
      </w:r>
      <w:r>
        <w:rPr>
          <w:rFonts w:ascii="仿宋_GB2312" w:eastAsia="仿宋_GB2312" w:hAnsi="仿宋" w:hint="eastAsia"/>
          <w:sz w:val="32"/>
          <w:szCs w:val="32"/>
        </w:rPr>
        <w:t>类典型问题进行讲解。宣讲活动深入</w:t>
      </w:r>
      <w:r>
        <w:rPr>
          <w:rFonts w:ascii="仿宋_GB2312" w:eastAsia="仿宋_GB2312" w:hAnsi="仿宋"/>
          <w:sz w:val="32"/>
          <w:szCs w:val="32"/>
        </w:rPr>
        <w:t>20</w:t>
      </w:r>
      <w:r>
        <w:rPr>
          <w:rFonts w:ascii="仿宋_GB2312" w:eastAsia="仿宋_GB2312" w:hAnsi="仿宋" w:hint="eastAsia"/>
          <w:sz w:val="32"/>
          <w:szCs w:val="32"/>
        </w:rPr>
        <w:t>个片区，覆盖辖区</w:t>
      </w:r>
      <w:r>
        <w:rPr>
          <w:rFonts w:ascii="仿宋_GB2312" w:eastAsia="仿宋_GB2312" w:hAnsi="仿宋"/>
          <w:sz w:val="32"/>
          <w:szCs w:val="32"/>
        </w:rPr>
        <w:t>20</w:t>
      </w:r>
      <w:r>
        <w:rPr>
          <w:rFonts w:ascii="仿宋_GB2312" w:eastAsia="仿宋_GB2312" w:hAnsi="仿宋" w:hint="eastAsia"/>
          <w:sz w:val="32"/>
          <w:szCs w:val="32"/>
        </w:rPr>
        <w:t>个地市及</w:t>
      </w:r>
      <w:r>
        <w:rPr>
          <w:rFonts w:ascii="仿宋_GB2312" w:eastAsia="仿宋_GB2312" w:hAnsi="仿宋"/>
          <w:sz w:val="32"/>
          <w:szCs w:val="32"/>
        </w:rPr>
        <w:t>949</w:t>
      </w:r>
      <w:r>
        <w:rPr>
          <w:rFonts w:ascii="仿宋_GB2312" w:eastAsia="仿宋_GB2312" w:hAnsi="仿宋" w:hint="eastAsia"/>
          <w:sz w:val="32"/>
          <w:szCs w:val="32"/>
        </w:rPr>
        <w:t>家证券期货分支机构，逾</w:t>
      </w:r>
      <w:r>
        <w:rPr>
          <w:rFonts w:ascii="仿宋_GB2312" w:eastAsia="仿宋_GB2312" w:hAnsi="仿宋"/>
          <w:sz w:val="32"/>
          <w:szCs w:val="32"/>
        </w:rPr>
        <w:t>1400</w:t>
      </w:r>
      <w:r>
        <w:rPr>
          <w:rFonts w:ascii="仿宋_GB2312" w:eastAsia="仿宋_GB2312" w:hAnsi="仿宋" w:hint="eastAsia"/>
          <w:sz w:val="32"/>
          <w:szCs w:val="32"/>
        </w:rPr>
        <w:t>名分支机构负责人及合规管理人员参与。</w:t>
      </w:r>
    </w:p>
    <w:p w:rsidR="00AB683C" w:rsidRDefault="00AB683C">
      <w:pPr>
        <w:spacing w:line="336" w:lineRule="auto"/>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（二）落实行业自律现场检查工作，实现行政监管和自律管理的良性互补。</w:t>
      </w:r>
      <w:r>
        <w:rPr>
          <w:rFonts w:ascii="仿宋_GB2312" w:eastAsia="仿宋_GB2312" w:hAnsi="仿宋_GB2312" w:cs="仿宋_GB2312" w:hint="eastAsia"/>
          <w:sz w:val="32"/>
          <w:szCs w:val="32"/>
        </w:rPr>
        <w:t>根据《关于开展辖区证券公司分支机构分类监管工作的通知》（广东证监发</w:t>
      </w:r>
      <w:r w:rsidRPr="006754DD">
        <w:rPr>
          <w:rFonts w:ascii="仿宋_GB2312" w:eastAsia="仿宋_GB2312" w:hAnsi="Times New Roman" w:hint="eastAsia"/>
          <w:sz w:val="32"/>
          <w:szCs w:val="32"/>
        </w:rPr>
        <w:t>〔</w:t>
      </w:r>
      <w:r w:rsidRPr="006754DD">
        <w:rPr>
          <w:rFonts w:ascii="仿宋_GB2312" w:eastAsia="仿宋_GB2312" w:hAnsi="Times New Roman"/>
          <w:sz w:val="32"/>
          <w:szCs w:val="32"/>
        </w:rPr>
        <w:t>20</w:t>
      </w:r>
      <w:r>
        <w:rPr>
          <w:rFonts w:ascii="仿宋_GB2312" w:eastAsia="仿宋_GB2312" w:hAnsi="Times New Roman"/>
          <w:sz w:val="32"/>
          <w:szCs w:val="32"/>
        </w:rPr>
        <w:t>18</w:t>
      </w:r>
      <w:r w:rsidRPr="006754DD">
        <w:rPr>
          <w:rFonts w:ascii="仿宋_GB2312" w:eastAsia="仿宋_GB2312" w:hAnsi="Times New Roman" w:hint="eastAsia"/>
          <w:sz w:val="32"/>
          <w:szCs w:val="32"/>
        </w:rPr>
        <w:t>〕</w:t>
      </w:r>
      <w:r>
        <w:rPr>
          <w:rFonts w:ascii="仿宋_GB2312" w:eastAsia="仿宋_GB2312" w:hAnsi="仿宋_GB2312" w:cs="仿宋_GB2312"/>
          <w:sz w:val="32"/>
          <w:szCs w:val="32"/>
        </w:rPr>
        <w:t>92</w:t>
      </w:r>
      <w:r>
        <w:rPr>
          <w:rFonts w:ascii="仿宋_GB2312" w:eastAsia="仿宋_GB2312" w:hAnsi="仿宋_GB2312" w:cs="仿宋_GB2312" w:hint="eastAsia"/>
          <w:sz w:val="32"/>
          <w:szCs w:val="32"/>
        </w:rPr>
        <w:t>号），协会组织工作人员认真学习《广东辖区证券分支机构分类监管考核指标（</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版）》，结合</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年现场检查工作情况，充分交流检查经验、技巧和侧重点，制订现场检查手册，并成立三个现场检查小组，对辖区</w:t>
      </w:r>
      <w:r>
        <w:rPr>
          <w:rFonts w:ascii="仿宋_GB2312" w:eastAsia="仿宋_GB2312" w:hAnsi="仿宋_GB2312" w:cs="仿宋_GB2312"/>
          <w:sz w:val="32"/>
          <w:szCs w:val="32"/>
        </w:rPr>
        <w:t>34</w:t>
      </w:r>
      <w:r>
        <w:rPr>
          <w:rFonts w:ascii="仿宋_GB2312" w:eastAsia="仿宋_GB2312" w:hAnsi="仿宋_GB2312" w:cs="仿宋_GB2312" w:hint="eastAsia"/>
          <w:sz w:val="32"/>
          <w:szCs w:val="32"/>
        </w:rPr>
        <w:t>家证券公司分支机构进行了现场检查，并要求证券公司分支机构针对检查过程发现的问题进行整改，实现行政监管和自律管理的良性互补。协会还派出工作人员多人多次参与广东证监局开展的期货公司分支机构分类评价工作、期货基金经营机构和证券投资咨询公司的专项业务现场检查。</w:t>
      </w:r>
    </w:p>
    <w:p w:rsidR="00AB683C" w:rsidRDefault="00AB683C">
      <w:pPr>
        <w:spacing w:line="336" w:lineRule="auto"/>
        <w:ind w:firstLineChars="200" w:firstLine="640"/>
        <w:rPr>
          <w:rFonts w:ascii="仿宋_GB2312" w:eastAsia="仿宋_GB2312" w:hAnsi="仿宋"/>
          <w:spacing w:val="-4"/>
          <w:sz w:val="32"/>
          <w:szCs w:val="32"/>
        </w:rPr>
      </w:pPr>
      <w:r>
        <w:rPr>
          <w:rFonts w:ascii="黑体" w:eastAsia="黑体" w:hAnsi="黑体" w:cs="黑体" w:hint="eastAsia"/>
          <w:bCs/>
          <w:sz w:val="32"/>
          <w:szCs w:val="32"/>
        </w:rPr>
        <w:t>三、多维度服务会员发展需求，全方位深化协会服务传导职能。</w:t>
      </w: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持续开展反洗钱培训。</w:t>
      </w:r>
      <w:r>
        <w:rPr>
          <w:rFonts w:ascii="仿宋_GB2312" w:eastAsia="仿宋_GB2312" w:hAnsi="仿宋_GB2312" w:cs="仿宋_GB2312" w:hint="eastAsia"/>
          <w:sz w:val="32"/>
          <w:szCs w:val="32"/>
        </w:rPr>
        <w:t>协会主动与中国人民银行广州分行反洗钱处联系，通过举办反洗钱专题培训、召开座谈会等形式，逐步建立了行业反洗钱交流合作机制，邀请中国人民银行广州分行及其中心支行反洗钱工作负责人先后开展培训</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场次，宣讲反洗钱监管政策，结合证券期货行业特点讲解反洗钱现场检查中存在的主要问题，满足了会员单位对做好反洗钱工作的迫切需求，有力提升了行业反洗钱工作水平。</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坚决维护行业合法权益。召开期货委员会会议，高度关注期货会员穿透式监管工作落实情况，认真听取会员有关文华财经交易软件穿透式监管工作问题的意见，及时调研、商讨并撰写相关报告上报广东证监局、中国期货业协会（以下简称“中期协”），反映行业意见与共识，坚决维护行业合法权益。</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引领会员走进实体经济。</w:t>
      </w:r>
      <w:r>
        <w:rPr>
          <w:rFonts w:ascii="仿宋_GB2312" w:eastAsia="仿宋_GB2312" w:hAnsi="仿宋" w:hint="eastAsia"/>
          <w:sz w:val="32"/>
          <w:szCs w:val="32"/>
        </w:rPr>
        <w:t>协会先后开展了六期“走进上市公司，服务实体经济”系列活动，组织会员和投资者走访了欧派家居、弘亚数控、高新兴、广电运通、尚品宅配、珠江钢琴和燕塘乳业等七家上市公司</w:t>
      </w:r>
      <w:r>
        <w:rPr>
          <w:rFonts w:ascii="仿宋_GB2312" w:eastAsia="仿宋_GB2312" w:hAnsi="仿宋" w:hint="eastAsia"/>
          <w:spacing w:val="-4"/>
          <w:sz w:val="32"/>
          <w:szCs w:val="32"/>
        </w:rPr>
        <w:t>，深化了会员单位及投资者对上市公司经营现状和战略规划等多方面情况的了解，有利于会员准确把握上市公司发展需求，充分发挥证券期货经营机构作为投融资中介服务机构的主体作用，切实服务好实体经济发展。</w:t>
      </w:r>
      <w:r>
        <w:rPr>
          <w:rFonts w:ascii="仿宋_GB2312" w:eastAsia="仿宋_GB2312" w:hAnsi="仿宋" w:hint="eastAsia"/>
          <w:b/>
          <w:bCs/>
          <w:spacing w:val="-4"/>
          <w:sz w:val="32"/>
          <w:szCs w:val="32"/>
        </w:rPr>
        <w:t>四是</w:t>
      </w:r>
      <w:r>
        <w:rPr>
          <w:rFonts w:ascii="仿宋_GB2312" w:eastAsia="仿宋_GB2312" w:hAnsi="仿宋" w:hint="eastAsia"/>
          <w:spacing w:val="-4"/>
          <w:sz w:val="32"/>
          <w:szCs w:val="32"/>
        </w:rPr>
        <w:t>全面推进会员单位调研能力建设。协会发布了《广东证券期货业协会行业研究课题管理办法（暂行）》，夯实调查研究的制度基础，提供年度研究课题范围并鼓励会员单位积极参与。经发展委员会评审后，</w:t>
      </w:r>
      <w:r>
        <w:rPr>
          <w:rFonts w:ascii="仿宋_GB2312" w:eastAsia="仿宋_GB2312" w:hAnsi="仿宋"/>
          <w:spacing w:val="-4"/>
          <w:sz w:val="32"/>
          <w:szCs w:val="32"/>
        </w:rPr>
        <w:t>2019</w:t>
      </w:r>
      <w:r>
        <w:rPr>
          <w:rFonts w:ascii="仿宋_GB2312" w:eastAsia="仿宋_GB2312" w:hAnsi="仿宋" w:hint="eastAsia"/>
          <w:spacing w:val="-4"/>
          <w:sz w:val="32"/>
          <w:szCs w:val="32"/>
        </w:rPr>
        <w:t>年的获奖论文于协会官网公布，供全体会员学习参考，强化调研成果转化，全面提升辖区行业调研工作水平。</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四、紧扣行业发展趋势，搭建行业交流平台，开展丰富多样的培训交流活动。</w:t>
      </w:r>
      <w:r>
        <w:rPr>
          <w:rFonts w:ascii="仿宋_GB2312" w:eastAsia="仿宋_GB2312" w:hAnsi="仿宋_GB2312" w:cs="仿宋_GB2312"/>
          <w:bCs/>
          <w:sz w:val="32"/>
          <w:szCs w:val="32"/>
        </w:rPr>
        <w:t>2019</w:t>
      </w:r>
      <w:r>
        <w:rPr>
          <w:rFonts w:ascii="仿宋_GB2312" w:eastAsia="仿宋_GB2312" w:hAnsi="仿宋_GB2312" w:cs="仿宋_GB2312" w:hint="eastAsia"/>
          <w:bCs/>
          <w:sz w:val="32"/>
          <w:szCs w:val="32"/>
        </w:rPr>
        <w:t>年，协会举办多场次培训交流活动，参与各类培训交流活动人员逾</w:t>
      </w:r>
      <w:r>
        <w:rPr>
          <w:rFonts w:ascii="仿宋_GB2312" w:eastAsia="仿宋_GB2312" w:hAnsi="仿宋_GB2312" w:cs="仿宋_GB2312"/>
          <w:bCs/>
          <w:sz w:val="32"/>
          <w:szCs w:val="32"/>
        </w:rPr>
        <w:t>6200</w:t>
      </w:r>
      <w:r>
        <w:rPr>
          <w:rFonts w:ascii="仿宋_GB2312" w:eastAsia="仿宋_GB2312" w:hAnsi="仿宋_GB2312" w:cs="仿宋_GB2312" w:hint="eastAsia"/>
          <w:bCs/>
          <w:sz w:val="32"/>
          <w:szCs w:val="32"/>
        </w:rPr>
        <w:t>人次，活动参与主体覆盖证券、期货、基金经营机构等各类型会员单位，较好满足会员单位发展需求。</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联合中国证券业协会（以下简称“中证协”）、中期协、上海期货交易所等多家单位举办业务培训。培训</w:t>
      </w:r>
      <w:r>
        <w:rPr>
          <w:rFonts w:ascii="仿宋_GB2312" w:eastAsia="仿宋_GB2312" w:hAnsi="仿宋_GB2312" w:cs="仿宋_GB2312" w:hint="eastAsia"/>
          <w:bCs/>
          <w:sz w:val="32"/>
          <w:szCs w:val="32"/>
        </w:rPr>
        <w:t>涵盖了</w:t>
      </w:r>
      <w:r>
        <w:rPr>
          <w:rFonts w:ascii="仿宋_GB2312" w:eastAsia="仿宋_GB2312" w:hAnsi="仿宋_GB2312" w:cs="仿宋_GB2312" w:hint="eastAsia"/>
          <w:sz w:val="32"/>
          <w:szCs w:val="32"/>
        </w:rPr>
        <w:t>营销团队管理、投融资中介业务实务</w:t>
      </w:r>
      <w:r>
        <w:rPr>
          <w:rFonts w:ascii="仿宋_GB2312" w:eastAsia="仿宋_GB2312" w:hAnsi="仿宋_GB2312" w:cs="仿宋_GB2312" w:hint="eastAsia"/>
          <w:bCs/>
          <w:sz w:val="32"/>
          <w:szCs w:val="32"/>
        </w:rPr>
        <w:t>、合规经营和投资者保护等多方面内容，部分培训新采用网络同步直播方式，有效地扩大培训范围。</w:t>
      </w:r>
      <w:r>
        <w:rPr>
          <w:rFonts w:ascii="仿宋_GB2312" w:eastAsia="仿宋_GB2312" w:hAnsi="仿宋_GB2312" w:cs="仿宋_GB2312" w:hint="eastAsia"/>
          <w:sz w:val="32"/>
          <w:szCs w:val="32"/>
        </w:rPr>
        <w:t>通过开展各类培训活动，有效提升了辖区证券期货基金经营机构合规经营意识和业务拓展能力</w:t>
      </w:r>
      <w:r>
        <w:rPr>
          <w:rFonts w:ascii="仿宋_GB2312" w:eastAsia="仿宋_GB2312" w:hAnsi="仿宋_GB2312" w:cs="仿宋_GB2312" w:hint="eastAsia"/>
          <w:bCs/>
          <w:sz w:val="32"/>
          <w:szCs w:val="32"/>
        </w:rPr>
        <w:t>，维护了辖区行业良好发展态势</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召开各专业委员会会议研讨工作。组织召开了第七届理事会发展委员会、教育培训委员会及期货委员会第一次会议，完成了行业研究论文评比、教育培训计划和期货行业落实穿透式监管工作等系列问题的研讨工作。</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举办辖区行业各类文体交流活动。开展棋牌比赛和趣味运动会；联合广东上市公司协会、广东新三板公司协会举办了“庆祝七十载辉煌，激扬资本市场成长”主题征文比赛活动；组织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期走进辖区证券经营机构调研活动及</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期沙龙活动，围绕券商财富管理转型、投诉处理工作机制及经验分享、服务实体经济的创新模式探索等多个主题进行了分享交流；</w:t>
      </w:r>
      <w:r>
        <w:rPr>
          <w:rFonts w:ascii="仿宋_GB2312" w:eastAsia="仿宋_GB2312" w:hAnsi="仿宋_GB2312" w:cs="仿宋_GB2312" w:hint="eastAsia"/>
          <w:spacing w:val="-4"/>
          <w:sz w:val="32"/>
          <w:szCs w:val="32"/>
        </w:rPr>
        <w:t>组织会员单位赴阿里巴巴集团开展调研交流活动，促进行业金融科技发展</w:t>
      </w:r>
      <w:r>
        <w:rPr>
          <w:rFonts w:ascii="仿宋_GB2312" w:eastAsia="仿宋_GB2312" w:hAnsi="仿宋_GB2312" w:cs="仿宋_GB2312" w:hint="eastAsia"/>
          <w:sz w:val="32"/>
          <w:szCs w:val="32"/>
        </w:rPr>
        <w:t>；联合中国人民银行广州分行和广东证监局组织举办“我与祖国共奋进”主题团日活动暨青年交流联谊活动，促进行业青年学习交流和沟通了解，丰富充实青年业余生活。</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五、持续履行行业社会责任，落实投资者教育和保护工作，助力国家脱贫攻坚战。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协会联合中证协、广东证监局、上海证券交易所、深圳证券交易所等多家机构举办了“科创板投教行”、投教大讲堂、打非健康跑、《有调有理》和《期开得胜》等公益活动与节目，并向会员发放打击非法证券活动宣传海报</w:t>
      </w:r>
      <w:r>
        <w:rPr>
          <w:rFonts w:ascii="仿宋_GB2312" w:eastAsia="仿宋_GB2312" w:hAnsi="仿宋_GB2312" w:cs="仿宋_GB2312"/>
          <w:sz w:val="32"/>
          <w:szCs w:val="32"/>
        </w:rPr>
        <w:t>1080</w:t>
      </w:r>
      <w:r>
        <w:rPr>
          <w:rFonts w:ascii="仿宋_GB2312" w:eastAsia="仿宋_GB2312" w:hAnsi="仿宋_GB2312" w:cs="仿宋_GB2312" w:hint="eastAsia"/>
          <w:sz w:val="32"/>
          <w:szCs w:val="32"/>
        </w:rPr>
        <w:t>份；联合西南财经大学投资者教育课题组面向辖区各证券、期货经营机构开展投资者教育问卷调查活动，并形成调研报告；联合广州市部分街道办及会员单位举办了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期金融知识普及月宣讲活动；通过广东证监局信息监管平台和协会网站、微信公众号发布了</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条投资者教育公益信息，并组织会员单位转发，累计浏览及推送数量逾</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亿人次；收集整理会员单位报送的优秀投教产品，通过协会网站和微信公众号向社会公众推送宣传。</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指导调解中心开展日常工作。</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年，调解中心共解答咨询</w:t>
      </w:r>
      <w:r>
        <w:rPr>
          <w:rFonts w:ascii="仿宋_GB2312" w:eastAsia="仿宋_GB2312" w:hAnsi="仿宋_GB2312" w:cs="仿宋_GB2312"/>
          <w:sz w:val="32"/>
          <w:szCs w:val="32"/>
        </w:rPr>
        <w:t>570</w:t>
      </w:r>
      <w:r>
        <w:rPr>
          <w:rFonts w:ascii="仿宋_GB2312" w:eastAsia="仿宋_GB2312" w:hAnsi="仿宋_GB2312" w:cs="仿宋_GB2312" w:hint="eastAsia"/>
          <w:sz w:val="32"/>
          <w:szCs w:val="32"/>
        </w:rPr>
        <w:t>件，受理投诉</w:t>
      </w:r>
      <w:r>
        <w:rPr>
          <w:rFonts w:ascii="仿宋_GB2312" w:eastAsia="仿宋_GB2312" w:hAnsi="仿宋_GB2312" w:cs="仿宋_GB2312"/>
          <w:sz w:val="32"/>
          <w:szCs w:val="32"/>
        </w:rPr>
        <w:t>375</w:t>
      </w:r>
      <w:r>
        <w:rPr>
          <w:rFonts w:ascii="仿宋_GB2312" w:eastAsia="仿宋_GB2312" w:hAnsi="仿宋_GB2312" w:cs="仿宋_GB2312" w:hint="eastAsia"/>
          <w:sz w:val="32"/>
          <w:szCs w:val="32"/>
        </w:rPr>
        <w:t>件（不含重复投诉），成功调解</w:t>
      </w:r>
      <w:r>
        <w:rPr>
          <w:rFonts w:ascii="仿宋_GB2312" w:eastAsia="仿宋_GB2312" w:hAnsi="仿宋_GB2312" w:cs="仿宋_GB2312"/>
          <w:sz w:val="32"/>
          <w:szCs w:val="32"/>
        </w:rPr>
        <w:t>299</w:t>
      </w:r>
      <w:r>
        <w:rPr>
          <w:rFonts w:ascii="仿宋_GB2312" w:eastAsia="仿宋_GB2312" w:hAnsi="仿宋_GB2312" w:cs="仿宋_GB2312" w:hint="eastAsia"/>
          <w:sz w:val="32"/>
          <w:szCs w:val="32"/>
        </w:rPr>
        <w:t>件，调解成功率达</w:t>
      </w:r>
      <w:r>
        <w:rPr>
          <w:rFonts w:ascii="仿宋_GB2312" w:eastAsia="仿宋_GB2312" w:hAnsi="仿宋_GB2312" w:cs="仿宋_GB2312"/>
          <w:sz w:val="32"/>
          <w:szCs w:val="32"/>
        </w:rPr>
        <w:t>79.7%</w:t>
      </w:r>
      <w:r>
        <w:rPr>
          <w:rFonts w:ascii="仿宋_GB2312" w:eastAsia="仿宋_GB2312" w:hAnsi="仿宋_GB2312" w:cs="仿宋_GB2312" w:hint="eastAsia"/>
          <w:sz w:val="32"/>
          <w:szCs w:val="32"/>
        </w:rPr>
        <w:t>，有效处理行业纠纷，树立行业良好社会形象。</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继续以扶贫为旗帜，引导行业积极履行行业社会责任，助力国家脱贫攻坚战。派出一名工作人员驻点下西村，做好对口帮扶的各项后勤保障工作，参与调研和推进实施具体帮扶项目；组织开展国情教育活动，并对贫困户进行慰问，筹集捐赠物资价值逾</w:t>
      </w:r>
      <w:r>
        <w:rPr>
          <w:rFonts w:ascii="仿宋_GB2312" w:eastAsia="仿宋_GB2312" w:hAnsi="仿宋_GB2312" w:cs="仿宋_GB2312"/>
          <w:sz w:val="32"/>
          <w:szCs w:val="32"/>
        </w:rPr>
        <w:t>79.6</w:t>
      </w:r>
      <w:r>
        <w:rPr>
          <w:rFonts w:ascii="仿宋_GB2312" w:eastAsia="仿宋_GB2312" w:hAnsi="仿宋_GB2312" w:cs="仿宋_GB2312" w:hint="eastAsia"/>
          <w:sz w:val="32"/>
          <w:szCs w:val="32"/>
        </w:rPr>
        <w:t>万元，切实在脱贫攻坚战一线奉献行业力量，为贫困群众送去行业的温暖。</w:t>
      </w:r>
    </w:p>
    <w:p w:rsidR="00AB683C" w:rsidRDefault="00AB683C">
      <w:pPr>
        <w:spacing w:line="336" w:lineRule="auto"/>
        <w:ind w:firstLineChars="200" w:firstLine="640"/>
        <w:rPr>
          <w:rFonts w:ascii="仿宋_GB2312" w:eastAsia="仿宋_GB2312" w:hAnsi="仿宋"/>
          <w:sz w:val="32"/>
          <w:szCs w:val="32"/>
        </w:rPr>
      </w:pPr>
      <w:r>
        <w:rPr>
          <w:rFonts w:ascii="黑体" w:eastAsia="黑体" w:hAnsi="黑体" w:cs="黑体" w:hint="eastAsia"/>
          <w:sz w:val="32"/>
          <w:szCs w:val="32"/>
        </w:rPr>
        <w:t>六、坚持党建引领，加强协会自身建设，规范协会各项工作。</w:t>
      </w:r>
      <w:r>
        <w:rPr>
          <w:rFonts w:ascii="仿宋_GB2312" w:eastAsia="仿宋_GB2312" w:hAnsi="仿宋" w:hint="eastAsia"/>
          <w:sz w:val="32"/>
          <w:szCs w:val="32"/>
        </w:rPr>
        <w:t>协会始终坚持党建工作的核心引领作用，推动党建工作与业务工作深度融合，持续开展“不忘初心、牢记使命”主题教育活动，联合相关会员单位党支部赴瑞金、赣州、延安等多个红色革命老区和爱国主义教育基地实地参观学习党的奋斗历史，弘扬革命精神，不忘初心，坚定理想信念，增强协会党组织的凝聚力和战斗力；顺利完成党支部副书记选举工作选举廖卓同志为协会党支部副书记，完善协会党支部队伍建设，推动党支部工作有序开展；切实加强廉政风险防控，依托党支部扩大会议、会长办公会等形式，严格执行“三重一大”集体决策制度；扎实推进“每月一课”学习常态化制度，通过读文件、看影片、谈体会等多种形式学习党的最新文件，传达广东证监局党委、纪委的会议精神，不断提高党员政治素养；按期召开理事会及监事会会议，规范协会日常监督管理工作；</w:t>
      </w:r>
      <w:r>
        <w:rPr>
          <w:rFonts w:ascii="仿宋_GB2312" w:eastAsia="仿宋_GB2312" w:hAnsi="仿宋" w:hint="eastAsia"/>
          <w:spacing w:val="-6"/>
          <w:sz w:val="32"/>
          <w:szCs w:val="32"/>
        </w:rPr>
        <w:t>加强秘书处学习培训，举办了三期内部培训班，强化秘书处工作人员能力水平建设，不断提高协会工作的专业性和主动性；</w:t>
      </w:r>
      <w:r>
        <w:rPr>
          <w:rFonts w:ascii="仿宋_GB2312" w:eastAsia="仿宋_GB2312" w:hAnsi="仿宋" w:hint="eastAsia"/>
          <w:sz w:val="32"/>
          <w:szCs w:val="32"/>
        </w:rPr>
        <w:t>持续推动辖区会员经营数据报送工作规范化，完善证券期货行业数据收集、统计和定期发布工作，为行业管理决策提供更准确的量化依据；完善协会网站建设，开发会议培训报名签到系统，提高工作效率。</w:t>
      </w:r>
    </w:p>
    <w:p w:rsidR="00AB683C" w:rsidRDefault="00AB683C">
      <w:pPr>
        <w:spacing w:line="336" w:lineRule="auto"/>
        <w:ind w:firstLineChars="200" w:firstLine="640"/>
        <w:rPr>
          <w:rFonts w:ascii="仿宋_GB2312" w:eastAsia="仿宋_GB2312" w:hAnsi="仿宋"/>
          <w:sz w:val="32"/>
          <w:szCs w:val="32"/>
        </w:rPr>
      </w:pPr>
      <w:r>
        <w:rPr>
          <w:rFonts w:ascii="仿宋_GB2312" w:eastAsia="仿宋_GB2312" w:hAnsi="仿宋" w:hint="eastAsia"/>
          <w:sz w:val="32"/>
          <w:szCs w:val="32"/>
        </w:rPr>
        <w:t>各位理事，一年来，协会紧紧围绕“自律、服务、传导”三大职能，始终秉承“微笑服务，严格自律”的工作理念，开展了系列卓有成效的工作，同时也在工作中对自律管理模式、会员服务方式、政策传导效率等方面不断进行新的探索，这离不开广东证监局的有力领导，离不开广大会员尤其是理事会的全力支持与配合，也离不开监事会的有效监督。在此，我向各位关心与支持协会工作的理事、监事表示衷心的感谢！</w:t>
      </w:r>
    </w:p>
    <w:p w:rsidR="00AB683C" w:rsidRDefault="00AB683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过去一年，协会工作取得的稳步发展和成果值得肯定。</w:t>
      </w:r>
      <w:r>
        <w:rPr>
          <w:rFonts w:ascii="仿宋_GB2312" w:eastAsia="仿宋_GB2312" w:hAnsi="仿宋"/>
          <w:sz w:val="32"/>
          <w:szCs w:val="32"/>
        </w:rPr>
        <w:t>2019</w:t>
      </w:r>
      <w:r>
        <w:rPr>
          <w:rFonts w:ascii="仿宋_GB2312" w:eastAsia="仿宋_GB2312" w:hAnsi="仿宋" w:hint="eastAsia"/>
          <w:sz w:val="32"/>
          <w:szCs w:val="32"/>
        </w:rPr>
        <w:t>年，协会一共新发展会员</w:t>
      </w:r>
      <w:r>
        <w:rPr>
          <w:rFonts w:ascii="仿宋_GB2312" w:eastAsia="仿宋_GB2312" w:hAnsi="仿宋"/>
          <w:sz w:val="32"/>
          <w:szCs w:val="32"/>
        </w:rPr>
        <w:t>49</w:t>
      </w:r>
      <w:r>
        <w:rPr>
          <w:rFonts w:ascii="仿宋_GB2312" w:eastAsia="仿宋_GB2312" w:hAnsi="仿宋" w:hint="eastAsia"/>
          <w:sz w:val="32"/>
          <w:szCs w:val="32"/>
        </w:rPr>
        <w:t>家，其中证券分公司</w:t>
      </w:r>
      <w:r>
        <w:rPr>
          <w:rFonts w:ascii="仿宋_GB2312" w:eastAsia="仿宋_GB2312" w:hAnsi="仿宋"/>
          <w:sz w:val="32"/>
          <w:szCs w:val="32"/>
        </w:rPr>
        <w:t>4</w:t>
      </w:r>
      <w:r>
        <w:rPr>
          <w:rFonts w:ascii="仿宋_GB2312" w:eastAsia="仿宋_GB2312" w:hAnsi="仿宋" w:hint="eastAsia"/>
          <w:sz w:val="32"/>
          <w:szCs w:val="32"/>
        </w:rPr>
        <w:t>家，期货分公司</w:t>
      </w:r>
      <w:r>
        <w:rPr>
          <w:rFonts w:ascii="仿宋_GB2312" w:eastAsia="仿宋_GB2312" w:hAnsi="仿宋"/>
          <w:sz w:val="32"/>
          <w:szCs w:val="32"/>
        </w:rPr>
        <w:t>2</w:t>
      </w:r>
      <w:r>
        <w:rPr>
          <w:rFonts w:ascii="仿宋_GB2312" w:eastAsia="仿宋_GB2312" w:hAnsi="仿宋" w:hint="eastAsia"/>
          <w:sz w:val="32"/>
          <w:szCs w:val="32"/>
        </w:rPr>
        <w:t>家，证券营业部</w:t>
      </w:r>
      <w:r>
        <w:rPr>
          <w:rFonts w:ascii="仿宋_GB2312" w:eastAsia="仿宋_GB2312" w:hAnsi="仿宋"/>
          <w:sz w:val="32"/>
          <w:szCs w:val="32"/>
        </w:rPr>
        <w:t>38</w:t>
      </w:r>
      <w:r>
        <w:rPr>
          <w:rFonts w:ascii="仿宋_GB2312" w:eastAsia="仿宋_GB2312" w:hAnsi="仿宋" w:hint="eastAsia"/>
          <w:sz w:val="32"/>
          <w:szCs w:val="32"/>
        </w:rPr>
        <w:t>家，期货营业部</w:t>
      </w:r>
      <w:r>
        <w:rPr>
          <w:rFonts w:ascii="仿宋_GB2312" w:eastAsia="仿宋_GB2312" w:hAnsi="仿宋"/>
          <w:sz w:val="32"/>
          <w:szCs w:val="32"/>
        </w:rPr>
        <w:t>4</w:t>
      </w:r>
      <w:r>
        <w:rPr>
          <w:rFonts w:ascii="仿宋_GB2312" w:eastAsia="仿宋_GB2312" w:hAnsi="仿宋" w:hint="eastAsia"/>
          <w:sz w:val="32"/>
          <w:szCs w:val="32"/>
        </w:rPr>
        <w:t>家</w:t>
      </w:r>
      <w:r>
        <w:rPr>
          <w:rFonts w:ascii="仿宋_GB2312" w:eastAsia="仿宋_GB2312" w:hAnsi="仿宋"/>
          <w:sz w:val="32"/>
          <w:szCs w:val="32"/>
        </w:rPr>
        <w:t>,</w:t>
      </w:r>
      <w:r>
        <w:rPr>
          <w:rFonts w:ascii="仿宋_GB2312" w:eastAsia="仿宋_GB2312" w:hAnsi="仿宋" w:hint="eastAsia"/>
          <w:sz w:val="32"/>
          <w:szCs w:val="32"/>
        </w:rPr>
        <w:t>投资咨询公司</w:t>
      </w:r>
      <w:r>
        <w:rPr>
          <w:rFonts w:ascii="仿宋_GB2312" w:eastAsia="仿宋_GB2312" w:hAnsi="仿宋"/>
          <w:sz w:val="32"/>
          <w:szCs w:val="32"/>
        </w:rPr>
        <w:t>1</w:t>
      </w:r>
      <w:r>
        <w:rPr>
          <w:rFonts w:ascii="仿宋_GB2312" w:eastAsia="仿宋_GB2312" w:hAnsi="仿宋" w:hint="eastAsia"/>
          <w:sz w:val="32"/>
          <w:szCs w:val="32"/>
        </w:rPr>
        <w:t>家。截至</w:t>
      </w:r>
      <w:r>
        <w:rPr>
          <w:rFonts w:ascii="仿宋_GB2312" w:eastAsia="仿宋_GB2312" w:hAnsi="仿宋"/>
          <w:sz w:val="32"/>
          <w:szCs w:val="32"/>
        </w:rPr>
        <w:t>2019</w:t>
      </w:r>
      <w:r>
        <w:rPr>
          <w:rFonts w:ascii="仿宋_GB2312" w:eastAsia="仿宋_GB2312" w:hAnsi="仿宋" w:hint="eastAsia"/>
          <w:sz w:val="32"/>
          <w:szCs w:val="32"/>
        </w:rPr>
        <w:t>年末，协会会员总数达到</w:t>
      </w:r>
      <w:r>
        <w:rPr>
          <w:rFonts w:ascii="仿宋_GB2312" w:eastAsia="仿宋_GB2312" w:hAnsi="仿宋"/>
          <w:sz w:val="32"/>
          <w:szCs w:val="32"/>
        </w:rPr>
        <w:t>1155</w:t>
      </w:r>
      <w:r>
        <w:rPr>
          <w:rFonts w:ascii="仿宋_GB2312" w:eastAsia="仿宋_GB2312" w:hAnsi="仿宋" w:hint="eastAsia"/>
          <w:sz w:val="32"/>
          <w:szCs w:val="32"/>
        </w:rPr>
        <w:t>家，其中证券公司</w:t>
      </w:r>
      <w:r>
        <w:rPr>
          <w:rFonts w:ascii="仿宋_GB2312" w:eastAsia="仿宋_GB2312" w:hAnsi="仿宋"/>
          <w:sz w:val="32"/>
          <w:szCs w:val="32"/>
        </w:rPr>
        <w:t>7</w:t>
      </w:r>
      <w:r>
        <w:rPr>
          <w:rFonts w:ascii="仿宋_GB2312" w:eastAsia="仿宋_GB2312" w:hAnsi="仿宋" w:hint="eastAsia"/>
          <w:sz w:val="32"/>
          <w:szCs w:val="32"/>
        </w:rPr>
        <w:t>家，期货公司</w:t>
      </w:r>
      <w:r>
        <w:rPr>
          <w:rFonts w:ascii="仿宋_GB2312" w:eastAsia="仿宋_GB2312" w:hAnsi="仿宋"/>
          <w:sz w:val="32"/>
          <w:szCs w:val="32"/>
        </w:rPr>
        <w:t>8</w:t>
      </w:r>
      <w:r>
        <w:rPr>
          <w:rFonts w:ascii="仿宋_GB2312" w:eastAsia="仿宋_GB2312" w:hAnsi="仿宋" w:hint="eastAsia"/>
          <w:sz w:val="32"/>
          <w:szCs w:val="32"/>
        </w:rPr>
        <w:t>家，基金公司</w:t>
      </w:r>
      <w:r>
        <w:rPr>
          <w:rFonts w:ascii="仿宋_GB2312" w:eastAsia="仿宋_GB2312" w:hAnsi="仿宋"/>
          <w:sz w:val="32"/>
          <w:szCs w:val="32"/>
        </w:rPr>
        <w:t>4</w:t>
      </w:r>
      <w:r>
        <w:rPr>
          <w:rFonts w:ascii="仿宋_GB2312" w:eastAsia="仿宋_GB2312" w:hAnsi="仿宋" w:hint="eastAsia"/>
          <w:sz w:val="32"/>
          <w:szCs w:val="32"/>
        </w:rPr>
        <w:t>家，证券分公司</w:t>
      </w:r>
      <w:r>
        <w:rPr>
          <w:rFonts w:ascii="仿宋_GB2312" w:eastAsia="仿宋_GB2312" w:hAnsi="仿宋"/>
          <w:sz w:val="32"/>
          <w:szCs w:val="32"/>
        </w:rPr>
        <w:t>106</w:t>
      </w:r>
      <w:r>
        <w:rPr>
          <w:rFonts w:ascii="仿宋_GB2312" w:eastAsia="仿宋_GB2312" w:hAnsi="仿宋" w:hint="eastAsia"/>
          <w:sz w:val="32"/>
          <w:szCs w:val="32"/>
        </w:rPr>
        <w:t>家，期货分公司</w:t>
      </w:r>
      <w:r>
        <w:rPr>
          <w:rFonts w:ascii="仿宋_GB2312" w:eastAsia="仿宋_GB2312" w:hAnsi="仿宋"/>
          <w:sz w:val="32"/>
          <w:szCs w:val="32"/>
        </w:rPr>
        <w:t>16</w:t>
      </w:r>
      <w:r>
        <w:rPr>
          <w:rFonts w:ascii="仿宋_GB2312" w:eastAsia="仿宋_GB2312" w:hAnsi="仿宋" w:hint="eastAsia"/>
          <w:sz w:val="32"/>
          <w:szCs w:val="32"/>
        </w:rPr>
        <w:t>家，证券营业部</w:t>
      </w:r>
      <w:r>
        <w:rPr>
          <w:rFonts w:ascii="仿宋_GB2312" w:eastAsia="仿宋_GB2312" w:hAnsi="仿宋"/>
          <w:sz w:val="32"/>
          <w:szCs w:val="32"/>
        </w:rPr>
        <w:t>950</w:t>
      </w:r>
      <w:r>
        <w:rPr>
          <w:rFonts w:ascii="仿宋_GB2312" w:eastAsia="仿宋_GB2312" w:hAnsi="仿宋" w:hint="eastAsia"/>
          <w:sz w:val="32"/>
          <w:szCs w:val="32"/>
        </w:rPr>
        <w:t>家，期货营业部</w:t>
      </w:r>
      <w:r>
        <w:rPr>
          <w:rFonts w:ascii="仿宋_GB2312" w:eastAsia="仿宋_GB2312" w:hAnsi="仿宋"/>
          <w:sz w:val="32"/>
          <w:szCs w:val="32"/>
        </w:rPr>
        <w:t>49</w:t>
      </w:r>
      <w:r>
        <w:rPr>
          <w:rFonts w:ascii="仿宋_GB2312" w:eastAsia="仿宋_GB2312" w:hAnsi="仿宋" w:hint="eastAsia"/>
          <w:sz w:val="32"/>
          <w:szCs w:val="32"/>
        </w:rPr>
        <w:t>家，其他类型会员单位</w:t>
      </w:r>
      <w:r>
        <w:rPr>
          <w:rFonts w:ascii="仿宋_GB2312" w:eastAsia="仿宋_GB2312" w:hAnsi="仿宋"/>
          <w:sz w:val="32"/>
          <w:szCs w:val="32"/>
        </w:rPr>
        <w:t>15</w:t>
      </w:r>
      <w:r>
        <w:rPr>
          <w:rFonts w:ascii="仿宋_GB2312" w:eastAsia="仿宋_GB2312" w:hAnsi="仿宋" w:hint="eastAsia"/>
          <w:sz w:val="32"/>
          <w:szCs w:val="32"/>
        </w:rPr>
        <w:t>家。</w:t>
      </w:r>
      <w:r>
        <w:rPr>
          <w:rFonts w:ascii="仿宋_GB2312" w:eastAsia="仿宋_GB2312" w:hAnsi="仿宋_GB2312" w:cs="仿宋_GB2312" w:hint="eastAsia"/>
          <w:sz w:val="32"/>
          <w:szCs w:val="32"/>
        </w:rPr>
        <w:t>伴随着会员数量的不断增长和资本市场深刻变革，未来协会的工作必将面临更多元化的挑战。我们清楚认识到协会工作仍存在局限及问题：</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自律管理措施略显单一，过度依赖现场检查开展，构建多元化资本市场要求行业自律管理工作迈上新台阶，仍需进一步探索有力、有效履行自律管理职能的新抓手。</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在服务会员方面比较滞后于市场发展，及时主动掌握新情况、新问题的能力还有很大提升空间，要更加充分利用理事会各专业委员会贴近市场一线优势，切实发挥各专业委员会议事办事的平台作用，针对新情况提前调研、充分讨论、做好服务。</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传导行业呼声和提供政策建议方面有待加强，要密切关注并研究行业发展趋势，结合行业政策落实情况反映行业诉求，并向主管部门提出政策建议。</w:t>
      </w:r>
    </w:p>
    <w:p w:rsidR="00AB683C" w:rsidRDefault="00AB683C">
      <w:pPr>
        <w:spacing w:line="336" w:lineRule="auto"/>
        <w:jc w:val="cente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2020</w:t>
      </w:r>
      <w:r>
        <w:rPr>
          <w:rFonts w:ascii="黑体" w:eastAsia="黑体" w:hAnsi="黑体" w:hint="eastAsia"/>
          <w:sz w:val="32"/>
          <w:szCs w:val="32"/>
        </w:rPr>
        <w:t>年工作安排</w:t>
      </w:r>
    </w:p>
    <w:p w:rsidR="00AB683C" w:rsidRDefault="00AB683C">
      <w:pPr>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中央经济工作会议强调</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年是全面建成小康社会和“十三五”规划收官之年，要实现第一个百年奋斗目标，为“十四五”发展和实现第二个百年奋斗目标打好基础，做好经济工作十分重要，这决定了</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将是不平凡的一年。面对部分地区局势动荡、全球贸易摩擦不断、疫情防控等多方面因素，我国经济发展面临的压力与挑战更为艰巨，但经济稳中向好、长期向好的基本趋势没有改变。协会将坚持以习近平新时代中国特色社会主义思想和党的十九大精神为指导，深入学习贯彻十九届四中全会、中央经济工作会议精神和证监会系统工作会议精神，认真贯彻落实会议部署的重点任务，不断增强“四个意识”，坚定“四个自信”，坚决做到“两个维护”，在广东证监局的指导下着重做好以下几个方面工作：</w:t>
      </w:r>
    </w:p>
    <w:p w:rsidR="00AB683C" w:rsidRDefault="00AB683C">
      <w:pPr>
        <w:spacing w:line="336" w:lineRule="auto"/>
        <w:ind w:firstLineChars="200" w:firstLine="640"/>
        <w:rPr>
          <w:rFonts w:ascii="仿宋_GB2312" w:eastAsia="仿宋_GB2312" w:hAnsi="仿宋_GB2312" w:cs="仿宋_GB2312"/>
          <w:spacing w:val="-20"/>
          <w:sz w:val="44"/>
          <w:szCs w:val="44"/>
        </w:rPr>
      </w:pPr>
      <w:r>
        <w:rPr>
          <w:rFonts w:ascii="黑体" w:eastAsia="黑体" w:hAnsi="黑体" w:cs="黑体" w:hint="eastAsia"/>
          <w:bCs/>
          <w:sz w:val="32"/>
          <w:szCs w:val="32"/>
        </w:rPr>
        <w:t>一、坚持党建工作引领协会高质量发展，提升协会工作政治性和专业性。</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聚焦协会党支部队伍建设，努力发展预备党员，夯实党建基础；继续联合会员单位党支部开展“不忘初心、牢记使命”主题教育党建活动，锤炼党性修养，砥砺理想信念之魂，提升协会党支部的凝聚力和战斗力。</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持之以恒推进全面从严治党，持续开展“每月一课”主题教育活动，坚持党建工作与业务工作共谋划同考核，把党建工作作为协会自身建设的重要方面，强化协会工作的政治性。</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坚持和完善民主集中制，依托党支部扩大会议、会长办公会及各专业委员会等机制贯彻落实集中领导和集体决策，提升决策的科学化水平和抓班子带队伍的能力。</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加强业务能力建设，持续开展内部业务学习培训，探索建立与会员单位人员岗位流动学习机制，建立一支专业知识硬、业务能力强的工作队伍，全面深化协会服务水平。</w:t>
      </w:r>
    </w:p>
    <w:p w:rsidR="00AB683C" w:rsidRDefault="00AB683C">
      <w:pPr>
        <w:spacing w:line="336" w:lineRule="auto"/>
        <w:ind w:firstLineChars="200" w:firstLine="640"/>
        <w:rPr>
          <w:rFonts w:ascii="仿宋_GB2312" w:eastAsia="仿宋_GB2312" w:hAnsi="仿宋_GB2312" w:cs="仿宋_GB2312"/>
          <w:spacing w:val="-20"/>
          <w:sz w:val="44"/>
          <w:szCs w:val="44"/>
          <w:highlight w:val="yellow"/>
        </w:rPr>
      </w:pPr>
      <w:r>
        <w:rPr>
          <w:rFonts w:ascii="黑体" w:eastAsia="黑体" w:hAnsi="黑体" w:cs="黑体" w:hint="eastAsia"/>
          <w:bCs/>
          <w:sz w:val="32"/>
          <w:szCs w:val="32"/>
        </w:rPr>
        <w:t>二、以学习贯彻新《证券法》为契机，强化辖区会员合规管理能力。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为更好贯彻落实新《证券法》，协会将结合片区活动、研讨会及举办专项培训等方式引导会员单位持续开展新《证券法》的宣传学习，营造辖区学法、懂法、守法、用法的良好氛围，促进会员单位规范展业。</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总结评析</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年分类监管自律评价现场检查中发现的新问题，通过开展片区活动或会员沙龙活动等形式向证券公司分支机构进行宣讲，强化自律意识，提升会员自查自纠能力。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根据近年来证券公司分支机构分类监管自律检查掌握的新情况、新问题，结合中证协发布的《中国证券业协会自律措施实施办法》完善协会自律管理规则，提升自律规则监督执行力。</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尝试合规培训沙龙化，分批次组织合规工作优秀的会员单位进行分享，提升合规培训的互动性与灵活性，强化合规培训效果。</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积极引导会员单位落实风险防控工作，高度警惕“黑天鹅”事件，也要防范“灰犀牛”事件，守牢风险防控底线。</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继续积极参与广东证监局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年开展的辖区证券公司分支机构分类监管工作，结合日常投诉纠纷处理情况，分片区开展自律评分现场检查，主动掌握辖区行业发展新情况、新问题，不断探索行业自律管理工作新抓手。</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三、立足长远发展培育健康行业文化，服务多层次资本市场建设。</w:t>
      </w:r>
      <w:r>
        <w:rPr>
          <w:rFonts w:ascii="仿宋_GB2312" w:eastAsia="仿宋_GB2312" w:hint="eastAsia"/>
          <w:b/>
          <w:bCs/>
          <w:sz w:val="32"/>
          <w:szCs w:val="32"/>
        </w:rPr>
        <w:t>一是</w:t>
      </w:r>
      <w:r>
        <w:rPr>
          <w:rFonts w:ascii="仿宋_GB2312" w:eastAsia="仿宋_GB2312" w:hint="eastAsia"/>
          <w:sz w:val="32"/>
          <w:szCs w:val="32"/>
        </w:rPr>
        <w:t>加强调研及宣传营造辖区良好的行业文化建设氛围。依托辖区知名高校、境内外知名证券基金经营机构、知名企业管理专家和行业监管部门力量，联合深圳证券业协会共同举办广东证券基金行业文化建设发展论坛，共同探讨企业文化建设与企业发展、企业文化建设思路与重点等；组织带领辖区会员单位与辖区外地方协会（以北京、上海、深圳地区为主）开展文化建设工作交流；</w:t>
      </w:r>
      <w:r>
        <w:rPr>
          <w:rFonts w:ascii="仿宋_GB2312" w:eastAsia="仿宋_GB2312" w:hint="eastAsia"/>
          <w:bCs/>
          <w:sz w:val="32"/>
          <w:szCs w:val="32"/>
        </w:rPr>
        <w:t>丰富行业文化建设宣传媒介，</w:t>
      </w:r>
      <w:r>
        <w:rPr>
          <w:rFonts w:ascii="仿宋_GB2312" w:eastAsia="仿宋_GB2312" w:hint="eastAsia"/>
          <w:sz w:val="32"/>
          <w:szCs w:val="32"/>
        </w:rPr>
        <w:t>在协会网站开辟行业文化建设专栏，及时更新协会公众号，通过专业媒体（中国证券报、证券时报、上海证券报及地方媒体）以文化建设专题采访或新闻发布会的方式宣传辖区文化建设思路、成效等。</w:t>
      </w:r>
      <w:r>
        <w:rPr>
          <w:rFonts w:ascii="仿宋_GB2312" w:eastAsia="仿宋_GB2312" w:hint="eastAsia"/>
          <w:b/>
          <w:bCs/>
          <w:sz w:val="32"/>
          <w:szCs w:val="32"/>
        </w:rPr>
        <w:t>二是</w:t>
      </w:r>
      <w:r>
        <w:rPr>
          <w:rFonts w:ascii="仿宋_GB2312" w:eastAsia="仿宋_GB2312" w:hint="eastAsia"/>
          <w:sz w:val="32"/>
          <w:szCs w:val="32"/>
        </w:rPr>
        <w:t>探索行业文化建设的长效机制。加强对行业文化建设课题研究，在组织年度行业研究课题申报过程中，加入行业文化建设课题，尤其对分支机构申报的企业文化建设课题予以重点支持立项；推动法人会员单位与辖区内知名高校合作，加强对行业文化建设的研究和理论储备；协会积极与辖区高校沟通合作，探讨在辖区证券期货经营机构开展行业文化建设调研，撰写相关研究报告。</w:t>
      </w:r>
      <w:r>
        <w:rPr>
          <w:rFonts w:ascii="仿宋_GB2312" w:eastAsia="仿宋_GB2312" w:hint="eastAsia"/>
          <w:b/>
          <w:bCs/>
          <w:sz w:val="32"/>
          <w:szCs w:val="32"/>
        </w:rPr>
        <w:t>三是</w:t>
      </w:r>
      <w:r>
        <w:rPr>
          <w:rFonts w:ascii="仿宋_GB2312" w:eastAsia="仿宋_GB2312" w:hint="eastAsia"/>
          <w:sz w:val="32"/>
          <w:szCs w:val="32"/>
        </w:rPr>
        <w:t>引导会员单位严格落实人员管理，</w:t>
      </w:r>
      <w:r>
        <w:rPr>
          <w:rFonts w:ascii="仿宋_GB2312" w:eastAsia="仿宋_GB2312" w:hAnsi="仿宋_GB2312" w:cs="仿宋_GB2312" w:hint="eastAsia"/>
          <w:sz w:val="32"/>
          <w:szCs w:val="32"/>
        </w:rPr>
        <w:t>从“选人、用人、育人”三方面相结合。协会将探索建立从业人员及投资者诚信信息数据库，对于辖区从业人员及投资者不诚信、不自律行为以适当方式进行公示；积极引导会员单位选才用人坚持“德才兼备、以德为先”原则，营造辖区会员单位用人重能力、更重品格的良好行业生态；组织开展廉洁从业和职业道德教育等相关内容培训，引导会员单位及从业人员牢固树立合规廉洁从业意识，坚决做到敬畏法治，忠实履职。</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持续收集行业文化建设案例材料。</w:t>
      </w:r>
      <w:r>
        <w:rPr>
          <w:rFonts w:ascii="仿宋_GB2312" w:eastAsia="仿宋_GB2312" w:hint="eastAsia"/>
          <w:sz w:val="32"/>
          <w:szCs w:val="32"/>
        </w:rPr>
        <w:t>调解中心和协会合规部在平时处理投诉的过程中，注意收集整理编写涉及违反职业道德准则的案例，并定期提交给协会会员部；合规部收集汇总近年来中国证监会及其派出机构对证券基金经营机构及其从业人员采取行政监管措施及行政处罚案例，作为警示教育案例；会员单位向协会不定期报送在企业文化建设过程中的正面典型案例，协会将视具体情况进行表彰。</w:t>
      </w:r>
      <w:r>
        <w:rPr>
          <w:rFonts w:ascii="仿宋_GB2312" w:eastAsia="仿宋_GB2312" w:hint="eastAsia"/>
          <w:b/>
          <w:bCs/>
          <w:sz w:val="32"/>
          <w:szCs w:val="32"/>
        </w:rPr>
        <w:t>五是</w:t>
      </w:r>
      <w:r>
        <w:rPr>
          <w:rFonts w:ascii="仿宋_GB2312" w:eastAsia="仿宋_GB2312" w:hint="eastAsia"/>
          <w:bCs/>
          <w:sz w:val="32"/>
          <w:szCs w:val="32"/>
        </w:rPr>
        <w:t>加强总结与报告，</w:t>
      </w:r>
      <w:r>
        <w:rPr>
          <w:rFonts w:ascii="仿宋_GB2312" w:eastAsia="仿宋_GB2312" w:hint="eastAsia"/>
          <w:sz w:val="32"/>
          <w:szCs w:val="32"/>
        </w:rPr>
        <w:t>按年度对行业文化建设情况进行统计分析和全面总结，形成辖区证券基金文化建设年度报告书，并向广东证监局报告，同时在行业内通报；及时收集整理和研究辖区行业文化建设面临的重难点问题，相应向监管部门和中证协提出意见建议，全面推进辖区行业文化建设。</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四、以市场发展趋势与会员需求为导向，有效发挥协会平台作用。</w:t>
      </w: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持续做好培训工作，组织落实辖区培训讲师推荐、选拔及聘任工作，</w:t>
      </w:r>
      <w:r>
        <w:rPr>
          <w:rFonts w:ascii="仿宋_GB2312" w:eastAsia="仿宋_GB2312" w:hAnsi="仿宋_GB2312" w:cs="仿宋_GB2312" w:hint="eastAsia"/>
          <w:sz w:val="32"/>
          <w:szCs w:val="32"/>
        </w:rPr>
        <w:t>联合有关单位举办科创板、注册制、行业文化建设、合规风控等专题培训。</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发挥反洗钱工作合作机制，联合中国人民银行广州分行持续开展反洗钱工作交流合作。</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加强行业交流合作。推动期货会员与交易所开展产业论坛研讨会，引导行业在服务实体经济中谋发展；按业务专题举办沙龙活动或座谈会，并组织走进证券期货经营机构调研活动，交流分享优秀工作经验；探索建立会员单位与辖区银行、基金、信托等其它金融机构的横向交流机制；组织会员单位到上海证券交易所实地调研科创板及注册制试行情况；继续联合广东上市公司协会等单位组织会员走进上市公司活动，进一步做实做好行业服务实体经济工作；持续开展辖区地方协会工作交流。</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推动辖区会员经营科技化，组织会员赴腾讯等知名互联网科技企业开展学习交流，促进行业对金融科技的理解与应用，要敢于、善于融合金融科技发展克服行业内外发展不稳定因素，全面提升行业服务客户与实体经济效能。</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促进辖区会员数据报送工作程序化、规范化，完善证券期货行业数据收集、统计和发布工作，及时掌握辖区行业发展动态，提升协会工作市场化。</w:t>
      </w:r>
      <w:r>
        <w:rPr>
          <w:rFonts w:ascii="仿宋_GB2312" w:eastAsia="仿宋_GB2312" w:hAnsi="仿宋_GB2312" w:cs="仿宋_GB2312" w:hint="eastAsia"/>
          <w:b/>
          <w:bCs/>
          <w:sz w:val="32"/>
          <w:szCs w:val="32"/>
        </w:rPr>
        <w:t>六是</w:t>
      </w:r>
      <w:r>
        <w:rPr>
          <w:rFonts w:ascii="仿宋_GB2312" w:eastAsia="仿宋_GB2312" w:hAnsi="仿宋_GB2312" w:cs="仿宋_GB2312" w:hint="eastAsia"/>
          <w:sz w:val="32"/>
          <w:szCs w:val="32"/>
        </w:rPr>
        <w:t>创新片区文体活动方式，由协会统一组织，采用各片区初赛、广州决赛形式，选择羽毛球、篮球等参与性强的项目，深化各片区交流互动，增强辖区行业文体活动竞争力和凝聚力。</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五、深入开展调查研究，积极反映行业发展面临的突出问题。</w:t>
      </w:r>
      <w:r>
        <w:rPr>
          <w:rFonts w:ascii="仿宋_GB2312" w:eastAsia="仿宋_GB2312" w:hAnsi="仿宋_GB2312" w:cs="仿宋_GB2312" w:hint="eastAsia"/>
          <w:sz w:val="32"/>
          <w:szCs w:val="32"/>
        </w:rPr>
        <w:t>根据协会发布的课题研究管理办法和</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行业研究课题，引导会员单位积极参与行业突出问题研究，做好课题申报和评优工作，汇聚行业力量和智慧，加强前瞻性工作，为行业进一步发展谋实策、出实招、见实效；充分发挥各专业委员会工作机制，带头调研，带着行业发展难点问题下沉到行业一线进行调研，找到破解难题的思路和办法，不断提高各专业委员会结合实际创造性开展工作的水平；探索与证券交易所、辖区高校等单位开展行业调研合作，建立长效调研合作机制。通过开展有效调研，为辖区行业发展储备各领域的“专门家”，提升辖区行业攻坚克难工作水平。</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六、引导和推动行业积极履行社会责任。</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落实投资者教育和保护工作。继续联合中证协、中期协、广东证监局、深圳证券交易所、广东开放大学和会员单位等机构开展形式多样的投教宣传活动、金融知识普及月及打击非法证券期货活动，树立行业良好社会形象；要进一步完善投资者教育和保护机制，引导会员在设立科创板并试点注册制的新形势下切实维护投资者合法权益；打造协会投教资源共享平台，整合辖区会员单位投教工作力量，实现投教资源共开发、同分享。</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指导调解中心开展日常工作，妥善化解行业纠纷，汇编典型案例，并定期向会员发布与宣讲，汇集行业力量规范行业发展，切实保障行业与投资者、社会各方的合法权益。</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持续做好行业对口扶贫工作，引导会员积极参与国情教育活动和行业对口扶贫工作，为打赢脱贫攻坚战奉献行业力量。</w:t>
      </w:r>
    </w:p>
    <w:p w:rsidR="00AB683C" w:rsidRDefault="00AB683C">
      <w:pPr>
        <w:spacing w:line="336" w:lineRule="auto"/>
        <w:ind w:firstLineChars="200" w:firstLine="640"/>
        <w:rPr>
          <w:rFonts w:ascii="仿宋_GB2312" w:eastAsia="仿宋_GB2312" w:hAnsi="仿宋_GB2312" w:cs="仿宋_GB2312"/>
          <w:sz w:val="32"/>
          <w:szCs w:val="32"/>
        </w:rPr>
      </w:pPr>
      <w:r>
        <w:rPr>
          <w:rFonts w:ascii="黑体" w:eastAsia="黑体" w:hAnsi="黑体" w:cs="黑体" w:hint="eastAsia"/>
          <w:bCs/>
          <w:sz w:val="32"/>
          <w:szCs w:val="32"/>
        </w:rPr>
        <w:t>七、其他工作。</w:t>
      </w:r>
      <w:r>
        <w:rPr>
          <w:rFonts w:ascii="仿宋_GB2312" w:eastAsia="仿宋_GB2312" w:hAnsi="仿宋_GB2312" w:cs="仿宋_GB2312" w:hint="eastAsia"/>
          <w:sz w:val="32"/>
          <w:szCs w:val="32"/>
        </w:rPr>
        <w:t>做好中证协、中期协和中国证券投资基金业协会在辖区举办的从业资格考试巡考工作，做好广东证监局交办的各项工作及其他落实协会职能的相关工作。</w:t>
      </w:r>
    </w:p>
    <w:sectPr w:rsidR="00AB683C" w:rsidSect="008A7ADB">
      <w:footerReference w:type="default" r:id="rId7"/>
      <w:pgSz w:w="11906" w:h="16838" w:code="9"/>
      <w:pgMar w:top="2098" w:right="1474" w:bottom="1985" w:left="1588" w:header="851" w:footer="1588" w:gutter="0"/>
      <w:pgNumType w:fmt="numberInDash" w:start="2"/>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3C" w:rsidRDefault="00AB683C" w:rsidP="00B15295">
      <w:r>
        <w:separator/>
      </w:r>
    </w:p>
  </w:endnote>
  <w:endnote w:type="continuationSeparator" w:id="0">
    <w:p w:rsidR="00AB683C" w:rsidRDefault="00AB683C" w:rsidP="00B15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serif">
    <w:altName w:val="Segoe Print"/>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C" w:rsidRDefault="00AB683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B683C" w:rsidRDefault="00AB683C">
                <w:pPr>
                  <w:pStyle w:val="Footer"/>
                </w:pPr>
                <w:fldSimple w:instr=" PAGE  \* MERGEFORMAT ">
                  <w:r>
                    <w:rPr>
                      <w:noProof/>
                    </w:rPr>
                    <w:t>- 16 -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3C" w:rsidRDefault="00AB683C" w:rsidP="00B15295">
      <w:r>
        <w:separator/>
      </w:r>
    </w:p>
  </w:footnote>
  <w:footnote w:type="continuationSeparator" w:id="0">
    <w:p w:rsidR="00AB683C" w:rsidRDefault="00AB683C" w:rsidP="00B15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3C" w:rsidRDefault="00AB683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C7539D"/>
    <w:rsid w:val="000056D5"/>
    <w:rsid w:val="000078D2"/>
    <w:rsid w:val="00012C06"/>
    <w:rsid w:val="00074467"/>
    <w:rsid w:val="000918BC"/>
    <w:rsid w:val="000C367F"/>
    <w:rsid w:val="000C637F"/>
    <w:rsid w:val="001E70E4"/>
    <w:rsid w:val="002C6F97"/>
    <w:rsid w:val="0032226C"/>
    <w:rsid w:val="003717AA"/>
    <w:rsid w:val="00377935"/>
    <w:rsid w:val="003C0482"/>
    <w:rsid w:val="003E090A"/>
    <w:rsid w:val="00410315"/>
    <w:rsid w:val="004332C5"/>
    <w:rsid w:val="0044770A"/>
    <w:rsid w:val="00455AAE"/>
    <w:rsid w:val="004A7034"/>
    <w:rsid w:val="004D58C9"/>
    <w:rsid w:val="004E379B"/>
    <w:rsid w:val="00513940"/>
    <w:rsid w:val="00566613"/>
    <w:rsid w:val="0059333A"/>
    <w:rsid w:val="005C4FFD"/>
    <w:rsid w:val="005C7251"/>
    <w:rsid w:val="005D312B"/>
    <w:rsid w:val="005D4301"/>
    <w:rsid w:val="006365D5"/>
    <w:rsid w:val="00650578"/>
    <w:rsid w:val="00654C91"/>
    <w:rsid w:val="00666709"/>
    <w:rsid w:val="006754DD"/>
    <w:rsid w:val="00760723"/>
    <w:rsid w:val="007737D9"/>
    <w:rsid w:val="007F50AE"/>
    <w:rsid w:val="00836401"/>
    <w:rsid w:val="008A47DF"/>
    <w:rsid w:val="008A7ADB"/>
    <w:rsid w:val="008E3F1D"/>
    <w:rsid w:val="00903B61"/>
    <w:rsid w:val="009857A8"/>
    <w:rsid w:val="0099174E"/>
    <w:rsid w:val="00A37E36"/>
    <w:rsid w:val="00A51A5B"/>
    <w:rsid w:val="00A856AD"/>
    <w:rsid w:val="00AB2A57"/>
    <w:rsid w:val="00AB683C"/>
    <w:rsid w:val="00AB7510"/>
    <w:rsid w:val="00AF040F"/>
    <w:rsid w:val="00AF552F"/>
    <w:rsid w:val="00AF6C72"/>
    <w:rsid w:val="00B15295"/>
    <w:rsid w:val="00B53657"/>
    <w:rsid w:val="00B76BA2"/>
    <w:rsid w:val="00BE51D3"/>
    <w:rsid w:val="00C05638"/>
    <w:rsid w:val="00C35537"/>
    <w:rsid w:val="00C672F3"/>
    <w:rsid w:val="00C731DC"/>
    <w:rsid w:val="00C96EBC"/>
    <w:rsid w:val="00CD43CC"/>
    <w:rsid w:val="00CD6635"/>
    <w:rsid w:val="00CE42C5"/>
    <w:rsid w:val="00D24B90"/>
    <w:rsid w:val="00D7074F"/>
    <w:rsid w:val="00D75FFD"/>
    <w:rsid w:val="00D96D33"/>
    <w:rsid w:val="00E238E8"/>
    <w:rsid w:val="00E27F1D"/>
    <w:rsid w:val="00E7331E"/>
    <w:rsid w:val="00E74A13"/>
    <w:rsid w:val="00E84829"/>
    <w:rsid w:val="00F26ADE"/>
    <w:rsid w:val="00F66785"/>
    <w:rsid w:val="00F6763E"/>
    <w:rsid w:val="00FB276D"/>
    <w:rsid w:val="00FB45D9"/>
    <w:rsid w:val="00FB7E26"/>
    <w:rsid w:val="014864B2"/>
    <w:rsid w:val="01571CA2"/>
    <w:rsid w:val="02FB75D5"/>
    <w:rsid w:val="05383552"/>
    <w:rsid w:val="05FC0EF1"/>
    <w:rsid w:val="06814730"/>
    <w:rsid w:val="068864CD"/>
    <w:rsid w:val="07A200AF"/>
    <w:rsid w:val="07BB437D"/>
    <w:rsid w:val="07C1693D"/>
    <w:rsid w:val="08DA2171"/>
    <w:rsid w:val="09B13543"/>
    <w:rsid w:val="0D340066"/>
    <w:rsid w:val="0E9F1DC7"/>
    <w:rsid w:val="0FB56E92"/>
    <w:rsid w:val="13B63443"/>
    <w:rsid w:val="16741732"/>
    <w:rsid w:val="16882D73"/>
    <w:rsid w:val="174E47AF"/>
    <w:rsid w:val="18DB043E"/>
    <w:rsid w:val="18DD3268"/>
    <w:rsid w:val="1B0F57D6"/>
    <w:rsid w:val="1BDE2ED6"/>
    <w:rsid w:val="1D651D3A"/>
    <w:rsid w:val="1EFE5696"/>
    <w:rsid w:val="1F5C47F2"/>
    <w:rsid w:val="20AE2021"/>
    <w:rsid w:val="23BB6AAE"/>
    <w:rsid w:val="26A40602"/>
    <w:rsid w:val="28070289"/>
    <w:rsid w:val="2A7B568F"/>
    <w:rsid w:val="2CA359D8"/>
    <w:rsid w:val="2CE820A1"/>
    <w:rsid w:val="2DF14699"/>
    <w:rsid w:val="30A32139"/>
    <w:rsid w:val="31B0753B"/>
    <w:rsid w:val="31E76CE1"/>
    <w:rsid w:val="32271819"/>
    <w:rsid w:val="324D67A3"/>
    <w:rsid w:val="35D80F96"/>
    <w:rsid w:val="3D8B375E"/>
    <w:rsid w:val="3F8C5C11"/>
    <w:rsid w:val="404E08EA"/>
    <w:rsid w:val="464A4C83"/>
    <w:rsid w:val="488D2D1C"/>
    <w:rsid w:val="48C80692"/>
    <w:rsid w:val="49F94B2C"/>
    <w:rsid w:val="49FD76AF"/>
    <w:rsid w:val="507279CA"/>
    <w:rsid w:val="52203A99"/>
    <w:rsid w:val="52B4586C"/>
    <w:rsid w:val="52C7539D"/>
    <w:rsid w:val="54697ACB"/>
    <w:rsid w:val="58665537"/>
    <w:rsid w:val="5BDC1565"/>
    <w:rsid w:val="651619A2"/>
    <w:rsid w:val="65796210"/>
    <w:rsid w:val="662D2B9F"/>
    <w:rsid w:val="67007B96"/>
    <w:rsid w:val="68881E25"/>
    <w:rsid w:val="68D935D3"/>
    <w:rsid w:val="6983090D"/>
    <w:rsid w:val="6AA974E1"/>
    <w:rsid w:val="6D570EEB"/>
    <w:rsid w:val="6DA274C2"/>
    <w:rsid w:val="6DC43CEC"/>
    <w:rsid w:val="6E530D39"/>
    <w:rsid w:val="71977EB7"/>
    <w:rsid w:val="73A97ADB"/>
    <w:rsid w:val="761536F3"/>
    <w:rsid w:val="77683433"/>
    <w:rsid w:val="78066E30"/>
    <w:rsid w:val="78B3306E"/>
    <w:rsid w:val="79796B5A"/>
    <w:rsid w:val="7E02656D"/>
    <w:rsid w:val="7E3D24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1529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15295"/>
    <w:rPr>
      <w:sz w:val="18"/>
      <w:szCs w:val="18"/>
    </w:rPr>
  </w:style>
  <w:style w:type="character" w:customStyle="1" w:styleId="BalloonTextChar">
    <w:name w:val="Balloon Text Char"/>
    <w:basedOn w:val="DefaultParagraphFont"/>
    <w:link w:val="BalloonText"/>
    <w:uiPriority w:val="99"/>
    <w:locked/>
    <w:rsid w:val="00B15295"/>
    <w:rPr>
      <w:rFonts w:ascii="Calibri" w:hAnsi="Calibri" w:cs="Times New Roman"/>
      <w:kern w:val="2"/>
      <w:sz w:val="18"/>
      <w:szCs w:val="18"/>
    </w:rPr>
  </w:style>
  <w:style w:type="paragraph" w:styleId="Footer">
    <w:name w:val="footer"/>
    <w:basedOn w:val="Normal"/>
    <w:link w:val="FooterChar"/>
    <w:uiPriority w:val="99"/>
    <w:rsid w:val="00B1529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5295"/>
    <w:rPr>
      <w:rFonts w:ascii="Calibri" w:hAnsi="Calibri" w:cs="Times New Roman"/>
      <w:kern w:val="2"/>
      <w:sz w:val="18"/>
      <w:szCs w:val="18"/>
    </w:rPr>
  </w:style>
  <w:style w:type="paragraph" w:styleId="Header">
    <w:name w:val="header"/>
    <w:basedOn w:val="Normal"/>
    <w:link w:val="HeaderChar"/>
    <w:uiPriority w:val="99"/>
    <w:rsid w:val="00B1529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5295"/>
    <w:rPr>
      <w:rFonts w:ascii="Calibri" w:hAnsi="Calibri" w:cs="Times New Roman"/>
      <w:kern w:val="2"/>
      <w:sz w:val="18"/>
      <w:szCs w:val="18"/>
    </w:rPr>
  </w:style>
  <w:style w:type="paragraph" w:styleId="NormalWeb">
    <w:name w:val="Normal (Web)"/>
    <w:basedOn w:val="Normal"/>
    <w:uiPriority w:val="99"/>
    <w:rsid w:val="00B15295"/>
    <w:pPr>
      <w:spacing w:line="480" w:lineRule="auto"/>
      <w:jc w:val="left"/>
    </w:pPr>
    <w:rPr>
      <w:rFonts w:ascii="微软雅黑" w:eastAsia="微软雅黑" w:hAnsi="微软雅黑"/>
      <w:kern w:val="0"/>
      <w:sz w:val="18"/>
      <w:szCs w:val="18"/>
    </w:rPr>
  </w:style>
  <w:style w:type="character" w:styleId="Strong">
    <w:name w:val="Strong"/>
    <w:basedOn w:val="DefaultParagraphFont"/>
    <w:uiPriority w:val="99"/>
    <w:qFormat/>
    <w:rsid w:val="00B15295"/>
    <w:rPr>
      <w:rFonts w:cs="Times New Roman"/>
      <w:b/>
    </w:rPr>
  </w:style>
  <w:style w:type="character" w:styleId="FollowedHyperlink">
    <w:name w:val="FollowedHyperlink"/>
    <w:basedOn w:val="DefaultParagraphFont"/>
    <w:uiPriority w:val="99"/>
    <w:rsid w:val="00B15295"/>
    <w:rPr>
      <w:rFonts w:cs="Times New Roman"/>
      <w:color w:val="000000"/>
      <w:u w:val="none"/>
    </w:rPr>
  </w:style>
  <w:style w:type="character" w:styleId="Emphasis">
    <w:name w:val="Emphasis"/>
    <w:basedOn w:val="DefaultParagraphFont"/>
    <w:uiPriority w:val="99"/>
    <w:qFormat/>
    <w:rsid w:val="00B15295"/>
    <w:rPr>
      <w:rFonts w:cs="Times New Roman"/>
    </w:rPr>
  </w:style>
  <w:style w:type="character" w:styleId="HTMLDefinition">
    <w:name w:val="HTML Definition"/>
    <w:basedOn w:val="DefaultParagraphFont"/>
    <w:uiPriority w:val="99"/>
    <w:rsid w:val="00B15295"/>
    <w:rPr>
      <w:rFonts w:cs="Times New Roman"/>
    </w:rPr>
  </w:style>
  <w:style w:type="character" w:styleId="HTMLVariable">
    <w:name w:val="HTML Variable"/>
    <w:basedOn w:val="DefaultParagraphFont"/>
    <w:uiPriority w:val="99"/>
    <w:rsid w:val="00B15295"/>
    <w:rPr>
      <w:rFonts w:cs="Times New Roman"/>
    </w:rPr>
  </w:style>
  <w:style w:type="character" w:styleId="Hyperlink">
    <w:name w:val="Hyperlink"/>
    <w:basedOn w:val="DefaultParagraphFont"/>
    <w:uiPriority w:val="99"/>
    <w:rsid w:val="00B15295"/>
    <w:rPr>
      <w:rFonts w:cs="Times New Roman"/>
      <w:color w:val="000000"/>
      <w:u w:val="none"/>
    </w:rPr>
  </w:style>
  <w:style w:type="character" w:styleId="HTMLCode">
    <w:name w:val="HTML Code"/>
    <w:basedOn w:val="DefaultParagraphFont"/>
    <w:uiPriority w:val="99"/>
    <w:rsid w:val="00B15295"/>
    <w:rPr>
      <w:rFonts w:ascii="serif" w:hAnsi="serif" w:cs="serif"/>
      <w:sz w:val="21"/>
      <w:szCs w:val="21"/>
    </w:rPr>
  </w:style>
  <w:style w:type="character" w:styleId="HTMLCite">
    <w:name w:val="HTML Cite"/>
    <w:basedOn w:val="DefaultParagraphFont"/>
    <w:uiPriority w:val="99"/>
    <w:rsid w:val="00B15295"/>
    <w:rPr>
      <w:rFonts w:cs="Times New Roman"/>
    </w:rPr>
  </w:style>
  <w:style w:type="character" w:styleId="HTMLKeyboard">
    <w:name w:val="HTML Keyboard"/>
    <w:basedOn w:val="DefaultParagraphFont"/>
    <w:uiPriority w:val="99"/>
    <w:rsid w:val="00B15295"/>
    <w:rPr>
      <w:rFonts w:ascii="serif" w:hAnsi="serif" w:cs="serif"/>
      <w:sz w:val="21"/>
      <w:szCs w:val="21"/>
    </w:rPr>
  </w:style>
  <w:style w:type="character" w:styleId="HTMLSample">
    <w:name w:val="HTML Sample"/>
    <w:basedOn w:val="DefaultParagraphFont"/>
    <w:uiPriority w:val="99"/>
    <w:rsid w:val="00B15295"/>
    <w:rPr>
      <w:rFonts w:ascii="serif" w:hAnsi="serif" w:cs="serif"/>
      <w:sz w:val="21"/>
      <w:szCs w:val="21"/>
    </w:rPr>
  </w:style>
  <w:style w:type="character" w:customStyle="1" w:styleId="fontstrikethrough">
    <w:name w:val="fontstrikethrough"/>
    <w:basedOn w:val="DefaultParagraphFont"/>
    <w:uiPriority w:val="99"/>
    <w:rsid w:val="00B15295"/>
    <w:rPr>
      <w:rFonts w:cs="Times New Roman"/>
      <w:strike/>
    </w:rPr>
  </w:style>
  <w:style w:type="character" w:customStyle="1" w:styleId="fontborder">
    <w:name w:val="fontborder"/>
    <w:basedOn w:val="DefaultParagraphFont"/>
    <w:uiPriority w:val="99"/>
    <w:rsid w:val="00B15295"/>
    <w:rPr>
      <w:rFonts w:cs="Times New Roman"/>
      <w:bdr w:val="single" w:sz="6" w:space="0" w:color="000000"/>
    </w:rPr>
  </w:style>
  <w:style w:type="character" w:customStyle="1" w:styleId="one">
    <w:name w:val="one"/>
    <w:basedOn w:val="DefaultParagraphFont"/>
    <w:uiPriority w:val="99"/>
    <w:rsid w:val="00B15295"/>
    <w:rPr>
      <w:rFonts w:cs="Times New Roman"/>
      <w:color w:val="003366"/>
    </w:rPr>
  </w:style>
  <w:style w:type="character" w:customStyle="1" w:styleId="iconvideo">
    <w:name w:val="icon_video"/>
    <w:basedOn w:val="DefaultParagraphFont"/>
    <w:uiPriority w:val="99"/>
    <w:rsid w:val="00B15295"/>
    <w:rPr>
      <w:rFonts w:cs="Times New Roman"/>
    </w:rPr>
  </w:style>
  <w:style w:type="character" w:customStyle="1" w:styleId="qqloginlogo">
    <w:name w:val="qq_login_logo"/>
    <w:basedOn w:val="DefaultParagraphFont"/>
    <w:uiPriority w:val="99"/>
    <w:rsid w:val="00B15295"/>
    <w:rPr>
      <w:rFonts w:cs="Times New Roman"/>
    </w:rPr>
  </w:style>
  <w:style w:type="character" w:customStyle="1" w:styleId="current">
    <w:name w:val="current"/>
    <w:basedOn w:val="DefaultParagraphFont"/>
    <w:uiPriority w:val="99"/>
    <w:rsid w:val="00B15295"/>
    <w:rPr>
      <w:rFonts w:cs="Times New Roman"/>
      <w:b/>
      <w:color w:val="FFFFFF"/>
      <w:bdr w:val="single" w:sz="6" w:space="0" w:color="000099"/>
      <w:shd w:val="clear" w:color="auto" w:fill="000099"/>
    </w:rPr>
  </w:style>
  <w:style w:type="character" w:customStyle="1" w:styleId="disabled">
    <w:name w:val="disabled"/>
    <w:basedOn w:val="DefaultParagraphFont"/>
    <w:uiPriority w:val="99"/>
    <w:rsid w:val="00B15295"/>
    <w:rPr>
      <w:rFonts w:cs="Times New Roman"/>
      <w:color w:val="DDDDDD"/>
      <w:bdr w:val="single" w:sz="6" w:space="0" w:color="EEEEEE"/>
    </w:rPr>
  </w:style>
  <w:style w:type="character" w:customStyle="1" w:styleId="bsharetext">
    <w:name w:val="bsharetext"/>
    <w:basedOn w:val="DefaultParagraphFont"/>
    <w:uiPriority w:val="99"/>
    <w:rsid w:val="00B1529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16</Pages>
  <Words>1200</Words>
  <Characters>6846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Rong</dc:creator>
  <cp:keywords/>
  <dc:description/>
  <cp:lastModifiedBy>AutoBVT</cp:lastModifiedBy>
  <cp:revision>31</cp:revision>
  <cp:lastPrinted>2020-02-26T00:30:00Z</cp:lastPrinted>
  <dcterms:created xsi:type="dcterms:W3CDTF">2019-11-06T02:05:00Z</dcterms:created>
  <dcterms:modified xsi:type="dcterms:W3CDTF">2020-03-30T08:00:00Z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