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Pr>
        <w:rPr>
          <w:rFonts w:hint="eastAsia" w:ascii="华文仿宋" w:hAnsi="华文仿宋" w:eastAsia="华文仿宋" w:cs="华文仿宋"/>
          <w:b/>
          <w:bCs/>
          <w:i w:val="0"/>
          <w:iCs w:val="0"/>
          <w:sz w:val="44"/>
          <w:szCs w:val="44"/>
          <w:lang w:val="en-US" w:eastAsia="zh-CN"/>
        </w:rPr>
      </w:pPr>
      <w:r>
        <w:rPr>
          <w:rFonts w:hint="eastAsia" w:ascii="华文仿宋" w:hAnsi="华文仿宋" w:eastAsia="华文仿宋" w:cs="华文仿宋"/>
          <w:b/>
          <w:bCs/>
          <w:i w:val="0"/>
          <w:iCs w:val="0"/>
          <w:sz w:val="44"/>
          <w:szCs w:val="44"/>
          <w:lang w:eastAsia="zh-CN"/>
        </w:rPr>
        <w:t>【集成期货</w:t>
      </w:r>
      <w:r>
        <w:rPr>
          <w:rFonts w:hint="eastAsia" w:ascii="华文仿宋" w:hAnsi="华文仿宋" w:eastAsia="华文仿宋" w:cs="华文仿宋"/>
          <w:b/>
          <w:bCs/>
          <w:i w:val="0"/>
          <w:iCs w:val="0"/>
          <w:sz w:val="44"/>
          <w:szCs w:val="44"/>
          <w:lang w:val="en-US" w:eastAsia="zh-CN"/>
        </w:rPr>
        <w:t>2016年投资者教育及保护活动】</w:t>
      </w:r>
    </w:p>
    <w:p>
      <w:pPr>
        <w:jc w:val="center"/>
        <w:rPr>
          <w:rFonts w:hint="eastAsia" w:ascii="华文仿宋" w:hAnsi="华文仿宋" w:eastAsia="华文仿宋" w:cs="华文仿宋"/>
          <w:b/>
          <w:bCs/>
          <w:i w:val="0"/>
          <w:iCs w:val="0"/>
          <w:sz w:val="44"/>
          <w:szCs w:val="44"/>
          <w:lang w:val="en-US" w:eastAsia="zh-CN"/>
        </w:rPr>
      </w:pPr>
      <w:r>
        <w:rPr>
          <w:rFonts w:hint="eastAsia" w:ascii="华文仿宋" w:hAnsi="华文仿宋" w:eastAsia="华文仿宋" w:cs="华文仿宋"/>
          <w:b/>
          <w:bCs/>
          <w:i w:val="0"/>
          <w:iCs w:val="0"/>
          <w:sz w:val="44"/>
          <w:szCs w:val="44"/>
          <w:lang w:val="en-US" w:eastAsia="zh-CN"/>
        </w:rPr>
        <w:t>宣传材料汇编</w:t>
      </w:r>
    </w:p>
    <w:p>
      <w:pPr>
        <w:jc w:val="center"/>
        <w:rPr>
          <w:rFonts w:hint="eastAsia"/>
          <w:b/>
          <w:bCs/>
          <w:i w:val="0"/>
          <w:iCs w:val="0"/>
          <w:sz w:val="44"/>
          <w:szCs w:val="44"/>
          <w:lang w:val="en-US" w:eastAsia="zh-CN"/>
        </w:rPr>
      </w:pPr>
    </w:p>
    <w:p>
      <w:pPr>
        <w:jc w:val="center"/>
        <w:rPr>
          <w:rFonts w:hint="eastAsia"/>
          <w:b/>
          <w:bCs/>
          <w:i w:val="0"/>
          <w:iCs w:val="0"/>
          <w:sz w:val="44"/>
          <w:szCs w:val="44"/>
          <w:lang w:val="en-US" w:eastAsia="zh-CN"/>
        </w:rPr>
      </w:pPr>
    </w:p>
    <w:p>
      <w:pPr>
        <w:jc w:val="left"/>
        <w:rPr>
          <w:rFonts w:hint="eastAsia"/>
          <w:b/>
          <w:bCs/>
          <w:i w:val="0"/>
          <w:iCs w:val="0"/>
          <w:sz w:val="44"/>
          <w:szCs w:val="44"/>
          <w:lang w:val="en-US" w:eastAsia="zh-CN"/>
        </w:rPr>
      </w:pPr>
    </w:p>
    <w:p>
      <w:pPr>
        <w:jc w:val="left"/>
        <w:rPr>
          <w:rFonts w:hint="eastAsia"/>
          <w:b/>
          <w:bCs/>
          <w:i w:val="0"/>
          <w:iCs w:val="0"/>
          <w:sz w:val="44"/>
          <w:szCs w:val="44"/>
          <w:lang w:val="en-US" w:eastAsia="zh-CN"/>
        </w:rPr>
      </w:pPr>
    </w:p>
    <w:p>
      <w:pPr>
        <w:jc w:val="left"/>
        <w:rPr>
          <w:rFonts w:hint="eastAsia"/>
          <w:b/>
          <w:bCs/>
          <w:i w:val="0"/>
          <w:iCs w:val="0"/>
          <w:sz w:val="44"/>
          <w:szCs w:val="44"/>
          <w:lang w:val="en-US" w:eastAsia="zh-CN"/>
        </w:rPr>
      </w:pPr>
    </w:p>
    <w:p>
      <w:pPr>
        <w:jc w:val="left"/>
        <w:rPr>
          <w:rFonts w:hint="eastAsia"/>
          <w:b/>
          <w:bCs/>
          <w:i w:val="0"/>
          <w:iCs w:val="0"/>
          <w:sz w:val="44"/>
          <w:szCs w:val="44"/>
          <w:lang w:val="en-US" w:eastAsia="zh-CN"/>
        </w:rPr>
      </w:pPr>
    </w:p>
    <w:p>
      <w:pPr>
        <w:jc w:val="left"/>
        <w:rPr>
          <w:rFonts w:hint="eastAsia"/>
          <w:b/>
          <w:bCs/>
          <w:i w:val="0"/>
          <w:iCs w:val="0"/>
          <w:sz w:val="44"/>
          <w:szCs w:val="44"/>
          <w:lang w:val="en-US" w:eastAsia="zh-CN"/>
        </w:rPr>
      </w:pPr>
    </w:p>
    <w:p>
      <w:pPr>
        <w:jc w:val="left"/>
        <w:rPr>
          <w:rFonts w:hint="eastAsia"/>
          <w:b/>
          <w:bCs/>
          <w:i w:val="0"/>
          <w:iCs w:val="0"/>
          <w:sz w:val="44"/>
          <w:szCs w:val="44"/>
          <w:lang w:val="en-US" w:eastAsia="zh-CN"/>
        </w:rPr>
      </w:pP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编制部门：集成期货股份有限公司研究发展中心</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服务热线：400-8877-650 或 0757-83309177</w:t>
      </w:r>
    </w:p>
    <w:p>
      <w:pPr>
        <w:jc w:val="left"/>
        <w:rPr>
          <w:rFonts w:hint="eastAsia" w:ascii="华文仿宋" w:hAnsi="华文仿宋" w:eastAsia="华文仿宋" w:cs="华文仿宋"/>
          <w:b/>
          <w:bCs/>
          <w:i w:val="0"/>
          <w:iCs w:val="0"/>
          <w:sz w:val="28"/>
          <w:szCs w:val="28"/>
          <w:lang w:val="en-US" w:eastAsia="zh-CN"/>
        </w:rPr>
      </w:pPr>
    </w:p>
    <w:p>
      <w:pPr>
        <w:jc w:val="left"/>
        <w:rPr>
          <w:rFonts w:hint="eastAsia"/>
          <w:b/>
          <w:bCs/>
          <w:i w:val="0"/>
          <w:iCs w:val="0"/>
          <w:sz w:val="28"/>
          <w:szCs w:val="28"/>
          <w:lang w:val="en-US" w:eastAsia="zh-CN"/>
        </w:rPr>
      </w:pPr>
    </w:p>
    <w:p>
      <w:pPr>
        <w:jc w:val="left"/>
        <w:rPr>
          <w:rFonts w:hint="eastAsia"/>
          <w:b/>
          <w:bCs/>
          <w:i w:val="0"/>
          <w:iCs w:val="0"/>
          <w:sz w:val="28"/>
          <w:szCs w:val="28"/>
          <w:lang w:val="en-US" w:eastAsia="zh-CN"/>
        </w:rPr>
      </w:pPr>
    </w:p>
    <w:p>
      <w:pPr>
        <w:jc w:val="left"/>
        <w:rPr>
          <w:rFonts w:hint="eastAsia"/>
          <w:b/>
          <w:bCs/>
          <w:i w:val="0"/>
          <w:iCs w:val="0"/>
          <w:sz w:val="28"/>
          <w:szCs w:val="28"/>
          <w:lang w:val="en-US" w:eastAsia="zh-CN"/>
        </w:rPr>
      </w:pPr>
    </w:p>
    <w:p>
      <w:pPr>
        <w:jc w:val="left"/>
        <w:rPr>
          <w:rFonts w:hint="eastAsia"/>
          <w:b/>
          <w:bCs/>
          <w:i w:val="0"/>
          <w:iCs w:val="0"/>
          <w:sz w:val="28"/>
          <w:szCs w:val="28"/>
          <w:lang w:val="en-US" w:eastAsia="zh-CN"/>
        </w:rPr>
      </w:pPr>
    </w:p>
    <w:p>
      <w:pPr>
        <w:jc w:val="left"/>
        <w:rPr>
          <w:rFonts w:hint="eastAsia"/>
          <w:b/>
          <w:bCs/>
          <w:i w:val="0"/>
          <w:iCs w:val="0"/>
          <w:sz w:val="28"/>
          <w:szCs w:val="28"/>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41275</wp:posOffset>
                </wp:positionV>
                <wp:extent cx="5334000" cy="0"/>
                <wp:effectExtent l="0" t="0" r="0" b="0"/>
                <wp:wrapNone/>
                <wp:docPr id="2" name="直接连接符 2"/>
                <wp:cNvGraphicFramePr/>
                <a:graphic xmlns:a="http://schemas.openxmlformats.org/drawingml/2006/main">
                  <a:graphicData uri="http://schemas.microsoft.com/office/word/2010/wordprocessingShape">
                    <wps:wsp>
                      <wps:cNvCnPr/>
                      <wps:spPr>
                        <a:xfrm>
                          <a:off x="1123950" y="1051560"/>
                          <a:ext cx="533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3.25pt;height:0pt;width:420pt;z-index:251658240;mso-width-relative:page;mso-height-relative:page;" filled="f" stroked="t" coordsize="21600,21600" o:gfxdata="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zqHivRAAAABQEAAA8AAAAAAAAAAQAgAAAAIgAAAGRy&#10;cy9kb3ducmV2LnhtbFBLAQIUABQAAAAIAIdO4kAYb8UV0wEAAG8DAAAOAAAAAAAAAAEAIAAAACAB&#10;AABkcnMvZTJvRG9jLnhtbFBLBQYAAAAABgAGAFkBAABlBQAAAAA=&#10;">
                <v:fill on="f" focussize="0,0"/>
                <v:stroke weight="0.5pt" color="#000000 [3200]" miterlimit="8" joinstyle="miter"/>
                <v:imagedata o:title=""/>
                <o:lock v:ext="edit" aspectratio="f"/>
              </v:line>
            </w:pict>
          </mc:Fallback>
        </mc:AlternateContent>
      </w:r>
    </w:p>
    <w:p>
      <w:pPr>
        <w:jc w:val="center"/>
        <w:rPr>
          <w:rFonts w:hint="eastAsia" w:ascii="宋体" w:hAnsi="宋体" w:eastAsia="宋体" w:cs="宋体"/>
          <w:b/>
          <w:bCs/>
          <w:i w:val="0"/>
          <w:iCs w:val="0"/>
          <w:sz w:val="28"/>
          <w:szCs w:val="28"/>
          <w:lang w:val="en-US" w:eastAsia="zh-CN"/>
        </w:rPr>
      </w:pPr>
      <w:r>
        <w:rPr>
          <w:rFonts w:hint="eastAsia" w:ascii="宋体" w:hAnsi="宋体" w:eastAsia="宋体" w:cs="宋体"/>
          <w:b/>
          <w:bCs/>
          <w:i w:val="0"/>
          <w:iCs w:val="0"/>
          <w:sz w:val="28"/>
          <w:szCs w:val="28"/>
          <w:lang w:val="en-US" w:eastAsia="zh-CN"/>
        </w:rPr>
        <w:t>目        录</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宋体" w:hAnsi="宋体" w:eastAsia="宋体" w:cs="宋体"/>
          <w:b w:val="0"/>
          <w:bCs w:val="0"/>
          <w:i w:val="0"/>
          <w:iCs w:val="0"/>
          <w:sz w:val="28"/>
          <w:szCs w:val="28"/>
          <w:lang w:val="en-US" w:eastAsia="zh-CN"/>
        </w:rPr>
      </w:pPr>
      <w:r>
        <w:rPr>
          <w:rFonts w:hint="eastAsia" w:ascii="宋体" w:hAnsi="宋体" w:eastAsia="宋体" w:cs="宋体"/>
          <w:b w:val="0"/>
          <w:bCs w:val="0"/>
          <w:i w:val="0"/>
          <w:iCs w:val="0"/>
          <w:sz w:val="28"/>
          <w:szCs w:val="28"/>
          <w:lang w:val="en-US" w:eastAsia="zh-CN"/>
        </w:rPr>
        <w:t>一、私募投资基金投资者教育知识42问.....................3</w:t>
      </w:r>
    </w:p>
    <w:p>
      <w:pPr>
        <w:jc w:val="left"/>
        <w:rPr>
          <w:rFonts w:hint="eastAsia" w:ascii="宋体" w:hAnsi="宋体" w:eastAsia="宋体" w:cs="宋体"/>
          <w:b w:val="0"/>
          <w:bCs w:val="0"/>
          <w:i w:val="0"/>
          <w:iCs w:val="0"/>
          <w:sz w:val="28"/>
          <w:szCs w:val="28"/>
          <w:lang w:val="en-US" w:eastAsia="zh-CN"/>
        </w:rPr>
      </w:pPr>
      <w:r>
        <w:rPr>
          <w:rFonts w:hint="eastAsia" w:ascii="宋体" w:hAnsi="宋体" w:eastAsia="宋体" w:cs="宋体"/>
          <w:b w:val="0"/>
          <w:bCs w:val="0"/>
          <w:i w:val="0"/>
          <w:iCs w:val="0"/>
          <w:sz w:val="28"/>
          <w:szCs w:val="28"/>
          <w:lang w:val="en-US" w:eastAsia="zh-CN"/>
        </w:rPr>
        <w:t>二、正确区分私募及非法集资资............................17</w:t>
      </w:r>
      <w:bookmarkStart w:id="0" w:name="_GoBack"/>
      <w:bookmarkEnd w:id="0"/>
    </w:p>
    <w:p>
      <w:pPr>
        <w:jc w:val="left"/>
        <w:rPr>
          <w:rFonts w:hint="eastAsia" w:ascii="宋体" w:hAnsi="宋体" w:eastAsia="宋体" w:cs="宋体"/>
          <w:b w:val="0"/>
          <w:bCs w:val="0"/>
          <w:i w:val="0"/>
          <w:iCs w:val="0"/>
          <w:sz w:val="28"/>
          <w:szCs w:val="28"/>
          <w:lang w:val="en-US" w:eastAsia="zh-CN"/>
        </w:rPr>
      </w:pPr>
      <w:r>
        <w:rPr>
          <w:rFonts w:hint="eastAsia" w:ascii="宋体" w:hAnsi="宋体" w:eastAsia="宋体" w:cs="宋体"/>
          <w:b w:val="0"/>
          <w:bCs w:val="0"/>
          <w:i w:val="0"/>
          <w:iCs w:val="0"/>
          <w:sz w:val="28"/>
          <w:szCs w:val="28"/>
          <w:lang w:val="en-US" w:eastAsia="zh-CN"/>
        </w:rPr>
        <w:t>三、投资者与期货公司纠纷部分典型案例及司法解释释........24</w:t>
      </w:r>
    </w:p>
    <w:p>
      <w:pPr>
        <w:jc w:val="left"/>
        <w:rPr>
          <w:rFonts w:hint="eastAsia" w:ascii="宋体" w:hAnsi="宋体" w:eastAsia="宋体" w:cs="宋体"/>
          <w:b w:val="0"/>
          <w:bCs w:val="0"/>
          <w:i w:val="0"/>
          <w:iCs w:val="0"/>
          <w:sz w:val="28"/>
          <w:szCs w:val="28"/>
          <w:lang w:val="en-US" w:eastAsia="zh-CN"/>
        </w:rPr>
      </w:pPr>
      <w:r>
        <w:rPr>
          <w:rFonts w:hint="eastAsia" w:ascii="宋体" w:hAnsi="宋体" w:eastAsia="宋体" w:cs="宋体"/>
          <w:b w:val="0"/>
          <w:bCs w:val="0"/>
          <w:i w:val="0"/>
          <w:iCs w:val="0"/>
          <w:sz w:val="28"/>
          <w:szCs w:val="28"/>
          <w:lang w:val="en-US" w:eastAsia="zh-CN"/>
        </w:rPr>
        <w:t>四、投资者合法权益保护宣传教育案例节选..................37</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一、私募投资基金投资者教育知识42问</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1、什么是私募基金?</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答：根据《私募监管暂行办法》的规定，私募基金是指在中华人民共和国境内，以非公开方式向投资者募集资金设立的投资基金。</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2、私募基金的投资范围有哪些?</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答：根据《私募监管暂行办法》的规定，私募基金可投资于股票、股权、债券、期货、期权、基金份额以及投资合同约定的如红酒、艺术品等其他投资标的。</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3、私募基金的组织形式有哪几种?</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根据组织形式可以分为：A.契约型基金。指未成立法律实体，而是通过契约的形式设立私募基金，基金管理人、投资者和其他基金参与主体按照契约约定行使相应权利，承担相应义务和责任。B.公司型基金。指投资者依据《公司法》 ，通过出资形成一个独立的法人实体——基金公司，由基金公司自行或者通过委托专门的基金管理人机构进行管理，投资者既是基金份额持有者又是基金公司股东，按照公司章程行使相应权利、承担相应义务和责任。C.合伙型基金。指投资者依据《合伙企业法》 ，成立投资基金有限合伙企业，由普通合伙人对合伙债务承担无限连带责任，由基金管理人具体负责投资运作。</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4、私募基金的管理类型有哪几种?</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的管理类型主要有：A.自我管理。指以有限责任公司、股份有限公司形式设立的公司型基金，通过组建内部管理团队实行自我管理。B.委托管理。指采取委托管理方式将资产委托私募基金管理人进行管理。C.顾问管理。指私募基金管理人通过担任投资顾问的方式为信托公司、券商资管、QFII等管理资产。</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5、私募基金根据投资方向可分为哪几种类型?</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根据投资方向可以分为：A.主要投资于公开交易证券的私募证券投资基金；B.主要投资于非公开交易股权的私募股权投资基金(包括创业投资基金)；C.主要投资于艺术品、红酒等特定商品的其他私募投资基金。</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6、私募证券投资基金有哪几种类型?</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答：私募证券投资基金的类型主要有：A.股票类基金。主要投资于股票。 B.债券类基金。主要投资于标准化的债券、非标准化的债券如委托贷款等。C.货币市场基金。主要投资于货币市场工具。D.混合类基金。投资标的包括股票、债券、货币市场工具但无明确的主要投资方向。E.资产证券化基金。主要投资于房地产、商品、贷款等资产证券化产品。F.衍生品基金。主要投资于期货、期权等金融衍生品。G.多资产基金。无限定的主要投资标的，主要投资股票、债权和货币市场工具外的其他金融产品。H.对冲基金(或绝对收益基金)。基金合同不限制投资标的，也不跟踪业绩比较基准，以为客户提供绝对收益作为投资策略。I.基金中的基金(FOF)。投资于其他证券投资基金、证券公司专项资产管理计划、商业银行理财计划、集合资金信托计划等金融监管部门批准或备案发行的金融产品。</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7、私募股权投资基金有哪几种类型?</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股权投资基金的类型主要有：A.成长基金。投资于成长阶段企业。B.并购基金。主要以控股方式投资于稳定成长期的企业，这些企业通常可以提供连续三年以上的反映盈利能力或潜力的财务报表，通过企业内部重组和行业整合来帮助被收购企业确立市场地位。C.重整基金。专注于为陷入财务危机的企业提供财务拯救。D.夹层基金。通常以股债结合的形式投资处于稳定成长期而上市之前的企业。E.房地产基金。直接投资于房地产相关项目以获取收益。F.基础设施基金。投资于基础设施项目。G.母基金。投资于其他基金、集合计划、专项资金等。</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8、什么是创业投资基金?我国对创业投资基金有何扶持政策?</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创业投资基金是股权投资基金的一个特别种类，主要投资未上市创业企业普通股或可转换为普通股的优先股、可转换债券等权益的股权投资基金。由于创业投资基金主要投资中小微企业的创业阶段，因此世界各国均通过特别立法，一方面明确财税扶持政策，另一方面对其投资领域进行引导，以确保政策目标实现。我国对创业投资基金的扶持政策包括：在财税方面，税务总局于2009年印发了《关于实施创业投资企业所得税优惠问题的通知》(国税发[2009]87号)，对创业投资基金的财政扶持政策进行了规定；在监管方面，中国证监会及其派出机构对创业投资基金在投资方向检查等环节，采取区别于其他私募基金的差异化监督管理，在账户开立、发行交易和投资退出等方面，为创业投资基金提供便利服务；在自律管理方面，中国基金业协会在基金管理人登记、基金备案、投资情况报告要求和会员管理等环节，对创业投资基金采取区别于其他私募基金的差异化行业自律，并提供差异化会员服务。</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9、推动私募基金行业发展有什么意义?</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推动私募基金行业发展的意义主要有：一是有利于促进经济结构调整和产业转型升级，服务实体经济发展；二是有利于促进创新、创业，推进创新型国家建设；三是有利于培育新型投资主体，满足日益增长的居民财富管理需求；四是有利于促进直接融资发展，优化金融资源配置，促进多层次资本市场发展。</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10、私募基金登记备案的主要法规依据是什么?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答：私募基金登记备案的主要法规依据有：A《证券投资基金法》第九十条“担任非公开募集基金的基金管理人，应当按照规定向基金行业协会履行登记手续，报送基本情况” ；B.《私募监管暂行办法》第七条“各类私募基金管理人应当根据基金业协会的规定，向基金业协会申请登记” 、第八条“各类私募基金募集完毕，私募基金管理人应当根据基金业协会的规定，办理基金备案手续” ；C.中国证券投资基金业协会(以下简称中国基金业协会)《私募投资基金管理人登记和基金备案办法》(试行)第五条“私募基金管理人应当向基金业协会履行基金管理人登记手续” 、第十一条“私募基金管理人应当在私募基金募集完毕后20个工作日内，通过私募基金登记备案系统进行备案” 。</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11、私募基金管理人什么情况下需要向中国证券投资基金业协会进行登记、备案或者报告?</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根据《私募监管暂行办法》的规定，出现以下几种情况，私募基金管理人应向中国基金业协会登记、备案或报告：一是开展私募基金管理业务的机构应当向中国基金业协会登记；二是私募基金募集完毕后，私募基金管理人应当向中国基金业协会办理基金备案手续；三是私募基金管理人需定期更新管理人及从业人员的有关信息、所管理私募基金的投资运作情况和杠杆运用情况，发生重大事项的，应当在10个工作日内向中国基金业协会报告；四是私募基金管理人应当于每个会计年度结束后4个月内，向中国基金业协会报送经会计师事务所审计的年度财务报告和所管理私募基金年度投资运作情况；五是私募基金管理人依法解散、被依法撤销、或者被依法宣告破产的，其法定代表人或普通合伙人应当向中国基金业协会报告。</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12、如何进行私募基金登记备案?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答：私募基金登记备案应通过中国基金业协会私募基金登记备案系统进行。</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登陆网址：https://pf.amac.org.cn</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登记备案简明流程：</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http://www.amac.org.cn/smjjdjbaxt/385466.shtml</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13、私募基金管理人登记及基金备案的性质是什么?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答：根据《证券投资基金法》 、 《私募监管暂行办法》 、中国证监会授权以及《私募投资基金管理人登记和基金备案办法(试行)》有关规定，由中国基金业协会负责私募基金管理人登记和私募基金备案，并履行行业自律监管职能。私募基金自律管理以信息披露为核心，以诚实守信为基础。私募基金管理人承诺对所提供信息的真实性、准确性和完整性承担法律责任。私募基金管理人登记和私募基金备案不属于行政许可事项。中国基金业协会对于私募基金管理人提供的登记备案信息不进行实质性事前审查，登记备案不构成资质认可，不产生对私募基金增信的法律效果。</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14、私募基金登记备案有何积极意义?</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登记备案的积极意义有：一是登记备案后，纳入中国证监会统一监管，有利于整个私募基金行业的规范发展。二是登记备案后，在中国基金业协会公示，有利于打击非法基金，营造良好的市场发展环境。三是登记备案后，可以享受中国基金业协会提供的服务及各地的相关优惠和扶持政策。四是登记备案后，私募基金可以直接以私募基金产品的名义在中国证券登记结算公司、中国期货保证金监控中心开立证券、期货账户，降低运营成本。五是登记备案后，有利于扩展业务，为申请开展公募基金业务、设立公募基金公司，甚至为申请其他证券、期货业务牌照打下基础。</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15、私募基金管理人不履行登记备案手续可能受到何种处罚?</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目前，中国证监会及派出机构积极鼓励私募基金管理人履行登记备案义务。今后，对于从事私募基金活动而不按规定进行登记备案的机构，将根据《证券投资基金法》第一百三十四条、《私募监管暂行办法》第三十八条等法律和部门规章的相关规定依法处理。</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16、《私募监管暂行办法》对私募基金的投资者有什么限定性条件?</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 《私募监管暂行办法》规定，私募基金应当向合格投资者募集，单只私募基金的投资者人数累计不得超过《证券投资基金法》、 《公司法》 、《合伙企业法》等法律规定的特定数量。根据《证券投资基金法》 ，私募证券基金投资者人数不得超过200人。按照《公司法》和《合伙企业法》的相关规定，以股份有限公司形式设立的私募基金，投资者人数不得超过200人；以有限责任公司或者合伙形式设立的私募基金，投资者人数不得超过50人。对于单只私募基金，无论募集多少次，投资者人数累计不得超过规定人数。</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17、什么是合格投资者?</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合格投资者是指具备相应风险识别能力和风险承担能力，投资于单只私募基金的金额不低于100万元且符合下列相关标准的单位和个人：A.净资产不低于1000万元的单位；B.金融资产不低于300万元或者最近三年个人年均收入不低于50万元的个人。其中，金融资产包括银行存款、股票、债券、基金份额、资产管理计划、银行理财产品、信托计划、保险产品、期货权益等。</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18、《私募监管暂行办法》规定了哪三类机构和个人可视为当然合格投资者?为什么?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答：《私募监管暂行办法》规定了以下三类投资者可视为当然合格投资者，不对其资产规模、收入和单笔投资金额标准有要求。A.“社保基金、企业年金等养老基金和慈善基金等社会公益基金” ，由于其资金具有较高稳定性且可以用作长期投资，适合投资于私募基金。B.“依法设立并在基金业协会备案的投资计划” ，既包括独立管理机构设立的以投资于私募基金为目的的“基金的基金”等集合投资计划，也包括商业银行、信托公司、保险资产管理公司、证券公司、期货公司、公募证券基金管理公司等各类基金管理机构及其子公司设立的各类投资计划。因其已在中国基金业协会备案，其投资已经按《私募监管暂行办法》规定的合格投资者标准进行过核查，所以，均可以视为当然合格投资者。C.对于“投资于所管理私募基金的私募基金管理人及其从业人员” ，前者为专业投资者，后者是充分知情人，故也将其视为当然合格投资者。</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19、私募基金的投资者人数应如何核定?</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以合伙企业、契约等非法人形式通过汇集多数投资者资金直接或间接投资于私募基金的，应当穿透核查最终投资者是否为合格投资者，并合并计算投资者人数。但是，对于社保基金、企业年金等养老基金，慈善基金等社会公益基金及依法设立并在中国基金业协会备案的投资计划，豁免穿透核查和合并计算投资者人数。</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20、私募基金是否能够转让，受让人是否有特殊要求?</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答：私募基金份额可依法转让，但投资者转让基金份额的，受让人应当为合格投资者且基金份额受让后投资者人数应当符合规定。</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21、私募基金募集资金有何要求?</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答：私募基金不得向合格投资者以外的单位和个人募集，不得公开或变相公开宣传推介，不得向不特定对象进行宣传推介。</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22、私募基金宣传有什么限制?</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不得通过报刊、电台、电视、互联网等公众传播媒体或者讲座、报告会、分析会和布告、传单、手机短信、微信、博客和电子邮件等方式，向不特定对象宣传推介。但向事先已了解其风险识别能力和承担能力的“特定对象”宣传推介，以及仅对公司品牌进行宣传，以及中国基金业协会将已设立和备案私募基金的基本信息进行公示，不视为公开宣传推介私募基金。</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23、私募基金是否能够对投资回报进行承诺?</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答：私募基金不得向投资者承诺投资本金不受损失或者最低收益。</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24、私募基金的销售需要落实哪些要求?</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答：私募基金销售需落实投资者适当性管理和销售适当性的要求。</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25、私募基金投资者适当性管理的具体要求是什么?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投资者适当性管理主要包括：一是应当采取问卷调查等方式，对投资者风险识别能力和风险承担能力进行评估；二是由投资者书面承诺符合合格投资者条件；三是应当制作风险揭示书，充分揭示风险，并由投资者签字确认，已阅知风险揭示书。</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26、私募基金销售适当性的具体要求是什么?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答：私募基金管理人或销售机构销售私募基金，应当自行或者委托第三方机构对私募基金进行风险评级，并向风险识别能力和风险承担能力相匹配的投资者推介私募基金。</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27、私募基金投赍者的资金来源有无要求?</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答：投资者应当确保投资资金来源合法，不得非法汇集他人资金投资私募基金。</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28、私募基金如何开立证券账户?</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已在中国基金业协会备案的私募基金可由已完成登记的私募基金管理人或资产托管人以私募基金的名义申请开立证券账户(有资产托管人的原则上由资产托管人办理)，基金管理人每设立一只私募基金可以按不同的证券交易场所各申请开立一个证券账户，具体方式可参见《中国登记结算有限公司关于私募投资基金开户和结算有关问题的通知》。</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29、私募基金能否在期货市场开立账户?</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答：在中国基金业协会登记的私募基金管理人，可为其管理的私募基金产品在期货市场开立账户，具体方式参见中国期货保证金监控中心下发的《特殊单位客户统一开户业务操作指引》。</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30、私募基金是否必须托管?</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答：私募基金应当由基金托管人托管，基金合同约定私募基金不进行托管的，应当在基金合同中明确保障私募基金财产安全的制度措施和纠纷解决机制。</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31、私募基金管理人、私募基金托管人、私募基金销售机构及其他私募服务机构、从业人员从事私募基金业务有哪些禁止性规定?</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上述机构或人员不得有以下行为：一是将其固有财产或者他人财产混同于基金财产从事投资活动；二是不公平地对待其管理的不同基金财产；三是利用基金财产或者职务之便，为本人或者投资者以外的人牟取利益，进行利益输送；四是侵占、挪用基金财产：五是泄露因职务便利获取的未公开信息，利用该信息从事或者明示、暗示他人从事相关的交易活动；六是从事损害基金财产和投资者利益的投资活动；七是玩忽职守，不按照规定履行职责；八是从事内幕交易、操纵交易价格及其他不正当交易活动；九是法律、行政法规和中国证监会规定禁止的其他行为。</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32、同一私募基金管理人是否可以同时管理不同类型的基金?</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答：在专业化管理和防范利益输送的前提下，不禁止同一私募基金管理人管理不同类型的基金，符合有关条件的还可以申请公募证券投资基金管理资格。</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33、私募基金管理人、托管人需要履行哪些披露义务?</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管理人、托管人应当按照合同约定，如实向投资者披露基金投资、资产负债、投资收益分配、基金承担的费用和业绩报酬、可能存在的利益冲突情况以及可能影响投资者合法权益的其他重大信息，不得隐瞒或者提供虚假信息。</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34、中国证监会对私募基金的监管思路是什么?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中国证监会对私募基金的监管以行业自律为主，以信息披露为核心，辅之以事中、事后的适度监管，充分维护私募基金市场的活力。与此同时，通过统计分析，及时掌握行业发展动态，推动促进私募基金行业相关政策的不断完善。有关私募基金的监管规定可通过以下网站了解：www.csrc.gov.cn(中国证监会)；www.amac.org.cn(中国证券投资基金业协会)。</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35、中国证监会对私募基金监管的基本原则是什么?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中国证监会对私募基金监管的基本原则是：一是重在自律。即对私募基金管理人和私募基金不设前置审批，仅采取事后登记备案的方式进行统计监测，主要发挥行业自律组织的作用和功能，通过中国基金业协会出台自律规则和行业标准，对私募基金管理人和从业人员进行自律管理，并建立全行业诚信体系，引导各类私募基金管理人和从业人员提升规范运作水平。二是底线监管。即明确私募基金行业规范运作的“三条底线” ，依法查处违反“三条底线”的行为，确保私募基金规范运作。三是促进发展。在适度监管的同时，通过加强服务和推动完善相关政策，促进各类私募基金特别是创业投资基金又快又好发展。</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36、私募基金行业规范运作的“三条底线”是什么?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答：私募基金行业规范运作必须遵守三条底线：一是要坚持诚信守法，恪守职业道德底线；二是要坚守“私募”的原则，不得变相进行公募；三是要严格投资者适当性管理，坚持面向合格投资者募集资金。</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37、中国证监会如何对私募基金进行诚信管理?</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私募基金行业是高度依赖诚信的行业。为加快建立“守信激励、失信约束”机制，除了中国基金业协会将制定行业黑名单制度外，中国证监会也将私募基金管理人、私募基金托管人、私募基金销售机构及其他私募服务机构、从业人员的诚信信息纳入证券期货市场诚信档案数据库，对重大失信信息予以公告。此外，中国证监会将根据私募基金管理人的信用状况实施差异化监管。</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38、中国证监会对私募基金的监测包括哪几方面?</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中国证监会对私募基金的监测主要包括以下三方面：一是基于中国基金业协会登记备案等信息，中国证监会及其派出机构依法对私募基金管理人等机构开展私募基金业务情况进行统计分析和风险监测，一旦发现违法违规线索和风险隐患，及时进行检查和查处；二是由地方派出机构负责辖区私募基金的负面舆情监测，通过利用现有信息系统等综合手段，对辖区规模较大、杠杆率较高的私募基金进行重点监测，关注其投资运作及风险状况，必要时进行风险评估和预警；三是对中国基金业协会、派出机构受理的投诉举报信息进行监测，分析私募基金违法违规的原因、类型和趋势，有针对性地制定监管对策，进一步提高事前预防和事后打击的效果。</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39、中国证监会将如何开展私募基金现场检查?</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中国证监会及派出机构将定期和不定期对私募基金开展以问题为导向的现场检查，重点关注私募基金管理机构是否坚守“诚信守法、不变相公募、面向合格投资者募集资金”三条行业规范发展底线。同时运用负面清单监管模式，规范私募基金管理人、托管人、销售机构及其他私募服务机构、从业人员禁止从事的行为，对于检查发现的违法违规问题，依法予以查处。</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40、《私募监管暂行办法》从什么时候起生效，对于生效前的“基金”如何处理?</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 《私募监管暂行办法》自2014年8月21日公布并施行。根据“法不溯及既往”的原则， 《私募监管暂行办法》实施前已运作的私募基金业务依照原有基金合同执行；《私募监管暂行办法》实施后新募集设立的私募基金以及已设立私募基金在《私募监管暂行办法》实施后新开展的有关业务活动，应当依照《私募监管暂行办法》规定执行。</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41、中国基金业协会登记备案开始前的私募基金产品如何规范?</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对于中国基金业协会登记备案开始前的私募基金产品，原则上其募集不适用《私募监管暂行办法》的规定，但仍需要及时到中国基金业协会进行备案，而在《私募监管暂行办法》实施后发生的违规行为将按照《私募监管暂行办法》的规定查处。</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42、私募基金管理机构能否开展公募基金业务?</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答：符合条件的私募基金管理人可以通过以下途径参与公募基金管理业务：一是申请设立基金管理公司；二是根据《资产管理机构开展公募证券投资基金管理业务暂行规定》向中国证监会申请公募基金管理业务资格；三是受让现有基金管理公司股权。</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二、正确区分私募及非法集资</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1、非法集资定义</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非法集资，是一类罪名的集合。指单位或者个人未依照法定程序经有关部门批准，以发行股票、证券、彩票、投资基金证券或者其他债权凭证的方式向社会公众筹集资金，并承诺在一定期限内以货币、实物以及其他方式向出资人还本付息或予以回报的行为。非法集资包括非法吸收公众存款及集资诈骗罪。</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2、两者的核心区别</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1）是否公开募集</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私募基金，顾名思义只能私下向特定的对象募集，而不能像公募基金(需要具备更苛刻的条件和审批手续)向公众推广募集。因此，公募基金的一些方法，在私募基金上是严格禁止的。比如，不得通过报刊、电台、电视、互联网等公众传播媒体宣传，不能通过传单、手机短信、微信、博客和电子邮件等方式向不特定对象宣传推介。实践中，理财讲座、投资研讨会等宣传形式无形当中把私募基金资金募集行为推向了犯罪的边缘，基金公司应谨慎对待。如果相关机构采取上述途径向社会公开宣传和推介，则有可能触犯了非法吸收公众存款的这一界限。</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2）是否注册备案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合法的私募基金及其管理机构应当取得工商行政管理机构注册，并按照《私募投资基金管理人登记和基金备案办法(试行)》要求向中国证券投资基金业协会登记备案。非法集资中的“非法性”，是指未经有关部门依法批准或者借用合法经营的形式吸收资金。因此，私募基金设立某只基金是否注册备案，则是其合法的因素之一。</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3）是否真实项目</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私募基金的发起一般是基于某项目，在募集协议书上都需要标明该资金用于哪个项目。存在真实的项目是私募基金合法的关键因素。同时，真实项目还包括资金是否专项专用。私募基金应专款专用，最好能够委托第三方机构进行托管或者进行委贷。基金财产必须区别于基金管理人的财产。</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实践中，一些私募企业基金管理混乱，对基金不进行专款专用或者不进行商业银行托管，甚至使用个人银行卡周转资金，不严格按照管理规定开展基金运营。一旦这些不合规行为被不法分子利用，出现“携带资金逃匿”、“据为己有肆意挥霍”、“将资金用于违法犯罪活动”等情形，容易给私募企业带来触犯非法吸收公众存款罪和集资诈骗罪的风险。因此，如果项目不存在，或者资金最终并没有用在项目上，那么则有可能转化为“具有非法占有”的集资诈骗行为。</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4）是否人数众多</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私募基金对投资者和人数应有严格限制。在人数限定方面，单只私募基金的投资者人数累计不得超过《证券投资基金法》、《公司法》、《合伙企业法》等法律规定的特定数量：以股份公司形式设立的，投资者人数(包括法人和自然人)不得超过200人;以有限公司和合伙制形式设立的，投资者人数不得超过50人。投资者不符合上述规定和人数超过限制的，都很有可能构成非法集资。虽然，非法集资在入罪上并非单纯的考虑投资者的人数(兼顾投资数额)，但是针对私募基金的特点，如果投资者投资数额小，人数多，则有非法集资嫌疑。</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目前，私募基金通过代持股或渠道的方式募集资金，对此因谨慎操作。这种行为给私募企业的运营带来了巨大的法律风险。一旦超过投资人数上限，就容易涉嫌向不特定对象募集资金，从而具备构成非法吸收公众存款罪的可能。</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5）是否承诺收益</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私募基金管理人、私募基金销售机构不得向投资者承诺投资本金不受损失或者承诺最低收益。如果私募基金的发起人向投资者许诺高比例的保底收益、给出明确还本付息或确定的回报约定，那么该机构也构成违法。非法集资中的“承诺性”是指：在一定期限内以货币、实物、股权等方式还本付息或者给付回报。基金公司一般只能强调“预期收益”，同时应对投资风险予以明示。</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3、非法集资案例</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1）案例一　　</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来自四川证监局的消息显示，2015年3月，G证券公司作为托管公司与Y投资公司签署“XX对冲基金”托管协议，并向其提供多份盖有公章的空白基金合同文本，以便在募集资金过程中使用。</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双方公司经交涉后发现，原来Y公司将基金合同文本中原募资托管账户页替换为Y公司自有银行账户页。</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四川证监局在接到线索后派人前往G公司核查，证实Y公司确将合同托管账户篡改为自有银行账户，并违规将客户投资款580万元划转至公司高管及关联自然人银行账户挪作他用。</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在持续的监管高压下，Y公司最终将580万元的投资款全部退还给投资者，并向G公司归还全部基金合同文本。</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本案是私募基金领域违规挪用基金财产的典型案例，具体有以下特点：</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第一、Y公司借助“基金财产由证券公司托管”，骗取投资者信任。Y公司借与国内知名证券公司进行托管合作之机，获得了盖有证券公司公章的空白基金合同文本，但实际上并未按约定将资产交托管方保管，只是以托管的说法骗取投资者信任。</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第二、借助“对冲基金”概念，迷惑、吸引投资者，Y公司利用国内投资者对对冲基金缺乏了解，使用看起来“高大上”的“对冲基金”概念“包装”产品，以此迷惑、吸引投资者。</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第三、利用私募基金合同签订中的漏洞，挪用基金财产，Y公司利用了托管方的信息不对称以及从托管协议签订到募资成功的时间差，擅自篡改合同内容，与不知情的投资者签署了所谓的“三方协议”，并大胆挪用基金资产。</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第四、利用熟人关系麻痹投资者。本案中涉及的投资者多为Y公司高管及员工的亲友或熟人。基于亲朋好友之间的信任，投资者在签署合同时，一般不会仔细查看格式化的基金合同，自然难以发现合同的异常。</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【案例启示】</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投资者应审慎选择私募基金投资，并在投资过后对私募基金管理机构和托管机构给予持续关注和监督。</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首先，要量力而行。私募基金投资具有高风险，对投资者风险识别能力和风险承受能力要求较高。《私募办法》也明确规定私募基金合格投资者要求，除单只私募基金投资额不低于100万元外，同时单位净资产不低于1000万元，个人金融资产不低于300万元或者最近三年个人年均收入不少于50万元。投资者要从自身实际出发，量力而行，对照私募基金合格投资者标准判断是否能够投资私募基金产品。在满足合格投资者标准的前提下，再选择与自己风险承受能力相匹配的产品。</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其次，要摸清底细。在进行私募基金产品购买前，投资者可以通过协会网站查询或询问机构注册地证监局，了解该机构是否已经在协会登记，登记资料是否完整、与工商注册资料是否一致。同时，还可以多方了解私募基金管理人以往业绩情况、市场口碑以及诚信规范情况。</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然后，要细看合同。基金合同是规定投资者与私募基金管理人之间权利和义务的重要文书。投资者在查看合同时，要注意合同约定的权利义务是否合理，合同是否完整、是否存在缺页、漏页等异常，要仔细阅读条款，对于不懂的概念、模糊的表述可以要求管理人进行解释或说明，切勿被各种夸大、虚假宣传忽悠、蒙蔽。对一式多份的合同，还应检查每份合同内容是否完全一致。</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最后，要持续关注。投资者在认购私募基金产品后，要持续关注私募基金产品投资、运行情况，要求私募基金管理人按约定履行信息披露义务。投资者若发现管理人失联，基金财产被侵占、挪用，基金存在重大风险等情况，要及时向私募基金管理人注册地证监局或协会反映，若发现私募基金管理人涉嫌诈骗、非法集资等犯罪线索的，要及时向公安、司法机关报案。</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2）案例二</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北方某股权投资基金公司成立于2010年7月，之后，该公司在互联网上散布“公司有某县政府特批免5年的税；享有政府推荐项目的优先选择权；享有托管银行10倍的支持，正常情况下银行对被托管企业的支持是3-5倍，国外是10倍；县政府将拥有的一块5800亩的土地全权交给该公司清理、包装、挂牌上市、出售”等虚假信息，以投资理财为名，以高息为诱饵非法吸收公众存款。截至案发，涉案金额高达12.78亿元，涉及全国30个省市的8964名投资者。　 </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经当地公安机关调查，该公司串通会计师事务所，出具虚假验资报告，进行工商注册；违反股权投资基金不能面向公众招募的有关规定，在互联网上向公众散布信息；采用虚假宣传的方式，捏造事实，欺骗社会公众；承诺高额固定回报，月息6%至10%不等；且尚未形成投资收益，提前向涉案群众返款。</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目前，该案已处置完毕。主犯韩某某以非法吸收公众存款罪、虚报注册资本罪，被判处有期徒刑10年，并处罚金100万元；其他犯罪嫌疑人分别判处一年以上、七年以下有期徒刑，共处罚金324万元。所有涉案人员均已开始服刑。</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针对当前与非法私募基金活动有关的各类刑事案件屡有发生、被害人人数众多等情况，我们提醒投资者进行投资时，应当充分了解私募基金的登记备案、募集资金、投资运作等是否符合《证券投资基金法》、《私募投资基金监督管理暂行办法》等相关法律法规的规定，不要被虚假宣传所迷惑，应当提高防骗识骗能力，谨慎投资，防患于未然。</w:t>
      </w: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ind w:firstLine="560"/>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三、投资者与期货公司纠纷部分典型案例及司法解释</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(案例中公司名均为替代名)</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1、朱某某与兰达期货股份有限公司期货强行平仓纠纷案</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原告朱某某诉称：2010年11月11日尾盘时，他卖出1109白糖期货合约50手未果，怀疑兰达期货股份有限公司（以下简称兰达期货）故意设卡不让成交，11月13日，其向兰达期货提出11日、12日结算账单中占用保证金、追加保证金、可用资金等算错，要求下一交易日开市时暂不强行平仓，待其筹集资金进行追加保证金，兰达期货对此异议和要求未予处理，并将其持有的50手1109白糖期货合约强行平仓，造成重大损失。朱某某认为，兰达期货此前在没有通知提高保证金比例、追加保证金、强行平仓的情况下擅自强行平仓，又于11月15日在对其异议和要求未处理即强行平仓，还以欺诈手段制作假单进行欺骗，严重违约侵权，对此，兰达期货应该负全责进行赔偿。请求判令兰达期货归还本金541 051.31元、赔偿交易损失4 530 000元，并承担诉讼费用。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被告兰达期货辩称：1.朱某某请求归还本金无法律依据，朱某某有期货交易经历，清楚“买者自负”原则，朱某某所称“在11月11日曾下单未成交”没有事实依据，该日朱某某无任何交易报单记录；2.兰达期货在11月11日、12日给出每日结算账单没有错误，按照兰达期货保证金收取比例，朱某某11日结算后需要追加资金42 598.69元，兰达期货随账单发送了追加保证金通知，12日，朱某某追加保证金6 000元，未能足额追加保证金，兰达期货强行平仓但未能成交，当日，期货交易所提高保证金比例，朱某某保证金缺口为332 403.69元，风险度达到231.04%，兰达期货通知朱某某追加保证金；3.兰达期货11月15日强行平仓符合交易规则和《期货经纪合同》，对于朱某某账户的亏损结果无任何责任；4.朱某某所提赔偿交易损失4 530 000元属无稽之谈；5.诉讼费用应由朱某某承担。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法院经审理查明：11月11日，兰达期货向朱某某发出追加保证金通知书；12日在公司网站公布了调整保证金通知；同日，兰达期货发出强行平仓通知，告知朱某某于下一交易日（15日）8:55前补足保证金，同时以手机短信进行了通知。11月15日上午，朱某某电话告知兰达期货保证金和可用资金计算不对，兰达期货表示无计算不当。后兰达期货分次挂单强行平仓，并全部成交。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法院判决及理由：1.朱某某诉称其在2010年11月11日曾下单未成交，怀疑是兰达期货故意设卡不让交易的事实不成立，该日朱某某无交易报单记录；2.朱某某诉称兰达期货在没有通知其提高保证金比例、追加保证金的情况下强行平仓，事实不存在，双方合同约定了以中国期货保证金监控中心查询系统作为主要通知方式，朱某某有义务关注自己的交易结果、账户资金情况，且兰达期货提交了有关通知的证据，朱某某15日致电兰达期货表明其知晓应当追加保证金，只是资金不足；3.朱某某诉称兰达期货保证金计算错误也不属实。兰达期货执行强行平仓的措施符合交易规则及双方之间《期货经纪合同》约定，对于朱某某账户的亏损结果，兰达期货并无过错及责任，朱某某要求兰达期货返还本金并赔偿损失之请求，缺乏依据，不予支持，判决驳回朱某某诉讼请求，并承担案件受理费。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另外，相关民事判决书显示，朱某某为了进行期货交易，曾进行民间借贷，后无力偿还，被法院判令其偿还贷款人本息。因该借贷发生在朱某某婚姻关系存续期间，其配偶在诉讼中作为被告，也被判令进行偿还。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启示</w:t>
      </w:r>
      <w:r>
        <w:rPr>
          <w:rFonts w:hint="eastAsia" w:ascii="华文仿宋" w:hAnsi="华文仿宋" w:eastAsia="华文仿宋" w:cs="华文仿宋"/>
          <w:b w:val="0"/>
          <w:bCs w:val="0"/>
          <w:i w:val="0"/>
          <w:iCs w:val="0"/>
          <w:sz w:val="28"/>
          <w:szCs w:val="28"/>
          <w:lang w:val="en-US" w:eastAsia="zh-CN"/>
        </w:rPr>
        <w:t>：充分了解期货交易的特点，按照约定履行合同义务，合理控制交易风险。经过多年发展，期货经纪业务已经比较成熟，业务流程、业务环节也已经完善，各期货公司的《期货经纪合同》对此有相对全面的约定。投资者在充分了解期货交易机制和交易特点的基础上，按照合同约定进行交易，将有助于控制风险，维护自身权益，预防和减少与期货公司纠纷。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案例1中，朱某某在交易过程中未能合理控制交易风险，当保证金不足时，未按照期货公司通知追加保证金，导致最终被强行平仓。在与期货公司沟通以及后续诉讼过程中，其所提异议、所主张事实、证据及赔偿额，均与实际情况不符，甚至严重偏离。最终，法院判其败诉。本案中，朱某某与期货公司发生纠纷，并在诉讼中败诉，其根由是，朱某某在交易过程中，对期货交易风险认识不足，风险控制不够，当行情走势不利于其持仓时，又缺少足额资金进行追保。同时，通过另一个民事判决可知，朱某某进行期货交易的部分资金来自民间借贷，这一做法相当于进一步放大交易杠杆，将自身暴露在更大的风险中，当保证金不足时，难以有效补足。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作为前车之鉴，案例1提示投资者在进行期货交易前，一定要充分认识期货交易风险，在交易过程中做好风险控制，当保证金不足时，选择及时追加或自行平仓，同时要以空闲资金进行期货交易，避免投入借贷资金。　</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2、王某某与秦润期货有限公司、郑某某期货交易纠纷案</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原告郑某某诉称：2010年1月18日，其与秦润期货有限公司（以下简称秦润期货）签订《期货经纪合同》。秦润期货后将其交易密码透露给业务员王某某，致使王某某在其不知情的情况下擅自交易，造成损失50 307元。事后，秦润期货推卸责任，王某某虽于4月8日书面承诺赔偿，但未付款。其认为两被告构成侵权，王某某是秦润期货员工，二者应当承担连带赔偿责任，请求判令两被告赔偿损失50 307元，利息6 000元，并承担诉讼费。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被告秦润期货辩称：1.王某某不是其员工，双方不存在劳动合同关系，王某某为其居间人，双方签订有《期货居间合同》，其与王某某签署的《和解协议》、郑某某签署的《客户声明》对此均可证明，王某某向郑某某出具书面承诺属于个人行为，与秦润期货无关，相关责任应由王某某承担；2.关于王某某代客操盘行为，深圳市期货行业协会已经进行了处理并公告；3.郑某某针对秦润期货的诉讼请求不具有事实和法律依据。事实上，郑某某收到账户的用户名和初始密码后，由于其本人泄密或未及时更改造成的损失应当自行承担。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被告王某某辩称：郑某某所诉财产损失与其无关，请求法院驳回。理由是：1.其与郑某某之间无权利义务关系；2.其是秦润期货一员，受指派履行义务，导致郑某某财产受到损害的是公司行为而非其个人行为；3.其出具的书面承诺无效，因为损失不是由其造成的，其受公司指派开展业务，相关赔偿应由公司承担。　　法院经审理查明：1.郑某某签署的《客户声明》显示，郑某某经王某某介绍到秦润期货开户，知晓王某某为居间人而非秦润期货正式职员，也知晓期货从业人员不得代客操盘；2. 2010年2月1日至3日，郑某某账户进行了频繁期货交易，亏损42 200元，并产生手续费4 053.65元，两项共计46 253.65元；3. 4月7日，王某某向郑某某出具《承诺书》内容为：“因本人未经郑某某同意自行动用其资金操作其期货账户，造成亏损约人民币伍万元，对此损失，本人愿意承担赔偿责任！”4.王某某与秦润期货的劳动仲裁庭外和解协议表明，双方为居间业务关系，不存在劳动关系，王某某不是秦润期货员工；5.庭审中，郑某某称其开户后未修改过交易密码，同时出入金均由王某某操作。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法院判决及理由：1.在本案中，王某某的身份为秦润期货的居间人，郑某某收到交易密码后未及时更改，导致被他人使用，秦润期货已进行风险提示，且无证据证明秦润期货泄露其交易密码，对此，秦润期货对郑某某损失无过错，郑某某向秦润期货权利主张无事实和法律依据；2.王某某作为居间人，擅自使用郑某某账户进行期货交易，造成损失，应当承担赔偿责任，且王某某出具了书面承诺。判令王某某给付郑某某人民币46 253.65元及利息，驳回郑某某其他诉讼请求，本案受理费由王某某负担。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王某某上诉称：请求撤销其给付郑某某赔偿及利息，诉讼费用由郑某某承担。主要理由是：1.没有郑某某授权，其无法登入和使用郑某某期货账户；2.其出具的书面承诺，是受到秦润期货勒令的情况下作出的，目的是安抚客户，减少影响；3.秦润期货不与员工签订劳动合同，只签居间合同，变相用工，非法展业，居间合同是不得已签署的。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秦润期货答辩称： 原审认定事实清楚， 适用法律正确， 应予维持。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郑某某答辩称：1.王某某自行交代了有其账户密码，对于擅自交易损失，王某某书面赔偿承诺是真实意思表示；2.其提起的是侵权之诉，秦润期货应当承担连带赔偿责任。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二审法院审理后认为，原审判决认定事实清楚，适用法律正确，处理并无不当。王某某的上诉理由不能成立，不予支持。判决驳回上诉，维持原判，二审案件受理费由王某某负担。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启示：</w:t>
      </w:r>
      <w:r>
        <w:rPr>
          <w:rFonts w:hint="eastAsia" w:ascii="华文仿宋" w:hAnsi="华文仿宋" w:eastAsia="华文仿宋" w:cs="华文仿宋"/>
          <w:b w:val="0"/>
          <w:bCs w:val="0"/>
          <w:i w:val="0"/>
          <w:iCs w:val="0"/>
          <w:sz w:val="28"/>
          <w:szCs w:val="28"/>
          <w:lang w:val="en-US" w:eastAsia="zh-CN"/>
        </w:rPr>
        <w:t>委托他人交易或代为下单前应当审慎考虑。在期货交易过程中，有部分投资者由于轻信盈利承诺、盲目信任他人、时间精力不足以及其他原因，会选择委托他人交易或代为下单，被选择的对象包括期货公司工作人员、居间人以及其他人员。</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这里要提示投资者以下三点：</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1）不能委托期货公司工作人员进行交易。按照中国期货业协会《期货从业人员执业行为准则》的规定，从业人员不得以个人名义接受投资者委托代理从事期货交易，而且各期货公司在《期货经纪合同》中也明确约定，投资者不得要求期货公司或其工作人员以全权委托方式进行期货交易。如果投资者违反合同约定，私下委托期货公司工作人员进行交易，一旦发生纠纷，投资者很难向期货公司主张权利。实践中，还有另外一种情况，有的投资者为了图方便，自己决定交易指令内容，委托熟悉的期货公司工作人员代为下单。这种做法不值得鼓励，期货公司也都要求营销人员等不得代为下单，因为这种委托在执行过程中容易演变为全权委托、擅自交易，并引发投资者与期货公司及其工作人员的纠纷。</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2）委托居间人进行期货交易时应当慎重。居间人是受期货公司或者投资者的委托，为其提供订约的机会或者订立《期货经纪合同》的中介服务的公民或法人，期货公司或者投资者按照约定向居间人支付报酬，居间人独立承担基于居间关系所产生的民事责任。在实践中，有的投资者与期货公司订立《期货经纪合同》后，会基于熟悉、信任等原因，委托居间人代为从事期货交易。在这个过程中，有的居间人为了赚取更多报酬对交易不负责任，有的居间人交易水平不高，最终都导致投资者出现亏损或损失。因此，投资者在委托居间人进行期货交易前，应当慎重考虑，并在交易过程中，及时了解交易情况。</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投资者还需要注意的是，不要将居间人误认为期货公司工作人员，避免出现本案中郑某某的错误。确实需要委托居间人进行期货交易的，应当对其身份进行确认，并在交易过程中注意防范相关风险。确认居间人身份的方式包括：向期货公司查询了解、向居间人本人确认，以及通过事实综合判断。</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3）不能全权委托期货公司进行期货交易。当前，相关规定禁止期货公司在经纪业务中接受投资者全权委托。《中国期货业协会会员自律公约》第三条规定，期货公司“不得在期货经纪业务中从事或允许工作人员从事接受客户全权委托进行期货交易等超越经营范围的业务”。《最高人民法院关于审理期货纠纷案件若干问题的规定》第十七条也从另外一个角度进行了规定，该条规定：“期货公司接受客户全权委托进行期货交易的，对交易产生的损失，承担主要赔偿责任，赔偿额不超过损失的百分之八十，法律、行政法规另有规定的除外。”</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3、邱某某与普成期货股份有限公司期货经纪合同纠纷案</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一审法院经审理查明：</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1）2008年12月1日，原告邱某某与被告普成期货股份有限公司（以下简称普成期货）签订《期货经纪合同》。合同中约定，普成期货为邱某某提供备用下单通道，当不能正常网上交易时，可改作电话或书面下单，同时，免责条款约定，由于网上交易系统故障导致不能正常交易时，普成期货没有过错的，不承担责任。同时，普成期货通过《期货交易风险说明书》、《客户须知》、《闪电手下单系统风险揭示书》等向邱某某揭示了网上期货交易风险，邱某某签字确认。　　</w:t>
      </w:r>
    </w:p>
    <w:p>
      <w:pPr>
        <w:numPr>
          <w:ilvl w:val="0"/>
          <w:numId w:val="1"/>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邱某某于2010年1月7日10:02三次通过闪电手系统下单，设定自动止损功能，并通过恒盛系统进行手动操作，10时至10时15分，恒盛系统出现速率慢，登录和成交缓慢，邱某某设定的止损线无法发挥作用，因其在恒盛系统无权限自动止损，其是根据市场行情进行止损，但由于交易缓慢，无法完成。　　</w:t>
      </w:r>
    </w:p>
    <w:p>
      <w:pPr>
        <w:numPr>
          <w:ilvl w:val="0"/>
          <w:numId w:val="1"/>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3月11日恒盛公司向普成期货书面说明，1月7日10时至10时15分普成期货网上交易系统出现登录缓慢和无法正常交易的异常情况，网关处理发生拥堵，原因是当时行情波动较大，交易量激增，恒盛公司同步网关软件处理能力存在瓶颈，前期未就此向普成期货做出提醒、建议。普成期货收到该书面说明后，将该情况函告邱某某，说明自身无过错。　　</w:t>
      </w:r>
    </w:p>
    <w:p>
      <w:pPr>
        <w:numPr>
          <w:ilvl w:val="0"/>
          <w:numId w:val="1"/>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8月3日，上海证监局《信访答复函》建议邱某某选择合同约定方式解决纠纷。　　</w:t>
      </w:r>
    </w:p>
    <w:p>
      <w:pPr>
        <w:numPr>
          <w:ilvl w:val="0"/>
          <w:numId w:val="1"/>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2012年6月27日，澎格公司在向普成期货出具的《交易系统部署说明》称，闪电手下单系统系该公司推出，闪电手客户端连接闪电手网关，恒盛客户端连接恒盛交易网关，闪电手网关与恒盛交易网关部署独立，交易互不影响。闪电手下单系统在2010年1月7日一切正常。　　</w:t>
      </w:r>
    </w:p>
    <w:p>
      <w:pPr>
        <w:numPr>
          <w:ilvl w:val="0"/>
          <w:numId w:val="1"/>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关于诉讼请求中损失的构成，邱某某称，其于2010年1月6日开仓买入500手P1009，成交单价7 352.80元。2010年1月7日10时15分之后，邱某某为避免损失扩大，进行了该500手平仓交易，最后平仓交易完成是在10时41分，自10时15分至10时41分之间的平仓损失，都是损失。邱某某同时表示，其主张的122万元损失中，可能包含10时15分之前的平仓交易损失。　　</w:t>
      </w:r>
    </w:p>
    <w:p>
      <w:pPr>
        <w:numPr>
          <w:ilvl w:val="0"/>
          <w:numId w:val="0"/>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一审法院判决及理由：1）交易系统故障发生的原因是恒盛公司同步网关软件处理能力存在瓶颈，同时前期未就此方面的风险给予普成期货提醒、建议，普成期货不具备排除技术问题以及避免风险的客观条件，普成期货不具有过错，不构成违约行为；在签订《期货经纪合同》时，普成期货进行了网上期货交易的风险揭示，邱某某确认并应当对风险有所预估；2）合同免责条款有效，普成期货可以据此免责；3）普成期货提供了恒盛交易系统、闪电手下单系统以及备用下单通道，在恒盛系统发生延迟时，邱某某可以选择其他下单途径，邱某某当天使用过闪电手系统交易；4）邱某某因交易系统故障而发生损失的时间是2010年1月7日，其于2012年5月15日提起诉讼，已超过诉讼时效，向证监局投诉不构成诉讼时效的中断。据此判令：驳回邱某某的全部诉讼请求。</w:t>
      </w:r>
    </w:p>
    <w:p>
      <w:pPr>
        <w:numPr>
          <w:ilvl w:val="0"/>
          <w:numId w:val="0"/>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邱某某上诉称：1）其向证监局信访导致时效中断；2）普成期货负有维护交易系统正常运行的附随义务，由于其未能升级软件导致交易系统故障，应当承担违约责任；3）一审判决法律适用错误，应予改判。　　</w:t>
      </w:r>
    </w:p>
    <w:p>
      <w:pPr>
        <w:numPr>
          <w:ilvl w:val="0"/>
          <w:numId w:val="0"/>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普成期货答辩称：1）其提供了多种下单方式，邱某某可以选择其他方式，邱某某损失是由于其对行情误判所致，应自行承担；2）普成期货未保证交易系统传输速率，且提供多种备用下单通道，切换不同交易通道发生的时间损耗只能由邱某某承担，恒盛系统拥堵时间仅为15分钟左右；3.邱某某对网上交易故障风险有预判，且双方约定了责任归属。据此请求法院驳回上诉，维持原判。　　</w:t>
      </w:r>
    </w:p>
    <w:p>
      <w:pPr>
        <w:numPr>
          <w:ilvl w:val="0"/>
          <w:numId w:val="0"/>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二审法院经审理另查明：2010年1月7日10时，邱某某持仓为400手P1009和130手Y1009；同日10时15分，邱某某持仓53手P1009。在上述期间，邱某某下达了6次卖出合约指令，其中成交三笔，即卖出200手P1009，成交价为7 220元；卖出147手P1009，成交价为7 244元；卖出130手Y1009，成交价为7 774元。当日10时P1009每手价格为7 398元，Y1009为8 216元；10时15分，P1009价格为7 163元，Y1009为7 940元。上述期间最低价格出现在10时08分，P1009价格为7 050元，Y1009为7 774元；最高价格均为10时。　　</w:t>
      </w:r>
    </w:p>
    <w:p>
      <w:pPr>
        <w:numPr>
          <w:ilvl w:val="0"/>
          <w:numId w:val="0"/>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二审法院判决及理由：</w:t>
      </w:r>
    </w:p>
    <w:p>
      <w:pPr>
        <w:numPr>
          <w:ilvl w:val="0"/>
          <w:numId w:val="2"/>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虽然恒盛交易系统并非普成期货设计和维护，但却系普成期货提供给邱某某用于传达交易指令的工具。普成期货作为期货公司，负有较高的注意义务，在将交易系统交邱某某使用前，应当充分测试并确保无瑕疵，导致恒盛交易系统此次故障的原因可以通过测试发现并避免。即使普成期货未向邱某某就该系统的运行安全作出明确保证，仍负有保证该系统不因故障损害邱某某权益的附随义务。普成期货未经充分测试即投入实际使用的行为违反了其注意义务，构成违约，按照《合同法》第一百二十一条规定，应当承担赔偿责任。对于网上交易系统或软件故障，只有当期货公司对技术故障无过错时，才有适用免责条款的可能。本案中，普成期货不能依据《期货经纪合同》、《期货交易风险说明书》的免责条款免责。　　</w:t>
      </w:r>
    </w:p>
    <w:p>
      <w:pPr>
        <w:numPr>
          <w:ilvl w:val="0"/>
          <w:numId w:val="2"/>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本案中，邱某某确实存在卖出合约的意愿和行为，但交易系统故障直接导致邱某某在故障时间段使用该系统进行交易的机会丧失，并引发了最终交易亏损，普成期货理应对其违约行为导致的机会损失进行赔偿。关于赔偿数额，应当综合考虑机会损失发生的概率、采取减损措施等因素综合加以确定，酌情认定损失金额为34万元。　　   </w:t>
      </w:r>
    </w:p>
    <w:p>
      <w:pPr>
        <w:numPr>
          <w:ilvl w:val="0"/>
          <w:numId w:val="2"/>
        </w:num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根据《最高人民法院关于审理民事案件适用诉讼时效制度若干问题的规定》第十四条规定，邱某某2010年6月2日向证监局提出了包含赔偿诉求的信访，可以导致诉讼时效中断，邱某某2012年5月15日提起诉讼，未超过2年的诉讼时效期间。　　</w:t>
      </w:r>
    </w:p>
    <w:p>
      <w:pPr>
        <w:numPr>
          <w:ilvl w:val="0"/>
          <w:numId w:val="0"/>
        </w:num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最终，二审法院认定，普成期货违反其应尽的注意义务，向客户提供了存在瑕疵的交易软件，存在过错，应当对邱某某的损失承担相应的赔偿责任。一审判决事实认定清楚，但法律适用错误，应予改判，撤销一审判决，判令普成期货赔偿邱某某人民币34万元，驳回邱某某其余部分的诉讼请求，一审、二审案件受理费由当事人共同承担。　　启示：按照合同约定查询了解账户交易情况，预防纠纷发生投资者与期货公司发生纠纷，或多或少地都与未能及时查询了解账户交易情况有关。因此，要提醒投资者的是，应当按照合同约定及时查询了解自己账户交易情况，这是投资者的合同义务，也是投资者保护自身权益的有效措施。期货公司会在《期货经纪合同》中约定，将中国期货市场保证金监控中心查询系统（www.cfmmc.com或者www.cfmmc.cn）作为主要通知方式，同时通过短信、网站公告以及其他方式进行辅助通知。投资者应当及时通过这些途径了解自己的交易、资金、权益等情况，从而合理安排交易，做好风险控制。</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4、王某甲以投资期货高额回报为名进行集资诈骗</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2009年2月以来，被告人王某甲借款投资期货买卖，长期亏损。2010年7月至2011年10月，被告人王某甲在明知自己买卖期货长期亏损、也无偿还能力的情况下，对外隐瞒真实情况，以投资期货买卖为名，以高额回报为诱饵，先后向丁某甲等21人募集资金共计2 949.5万元（币种均为人民币，下同），以返还本金、支付分红款（利息）的形式归还被害人共计13 328 810元，实际骗取集资款共计16 166 190元，用于归还债务、买卖期货、购买房产、汽车、挥霍等。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被告人王某甲为逃避被害人向其追偿债务，于2012年2月2日潜逃至重庆市巫山县巫峡镇，直至同年9月15日被抓获归案。　　法院认为，被告人王某甲以非法占有为目的，采用诈骗方法非法集资，数额特别巨大，其行为已构成集资诈骗罪，判处王某甲有期徒刑15年，并处罚金人民币50万元；责令被告人王某甲将违法所得人民币16 166 190元退赔给被害人。　　</w:t>
      </w:r>
    </w:p>
    <w:p>
      <w:pPr>
        <w:ind w:firstLine="560"/>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启示：</w:t>
      </w:r>
      <w:r>
        <w:rPr>
          <w:rFonts w:hint="eastAsia" w:ascii="华文仿宋" w:hAnsi="华文仿宋" w:eastAsia="华文仿宋" w:cs="华文仿宋"/>
          <w:b w:val="0"/>
          <w:bCs w:val="0"/>
          <w:i w:val="0"/>
          <w:iCs w:val="0"/>
          <w:sz w:val="28"/>
          <w:szCs w:val="28"/>
          <w:lang w:val="en-US" w:eastAsia="zh-CN"/>
        </w:rPr>
        <w:t>平和理性地处理交易损失，避免赌徒心态　　投资者在进行期货交易时发生损失在所难免，需要以正确的心态对待处理。在本案例中，投资者最终被判刑，其根本原因之一是在期货交易损失发生后，不能以理性、平和的心态进行处置，反而用触犯刑法的犯罪行为寻求解决之道，甚至为害他人。王某甲以借贷资金进行期货交易发生亏损，无力偿还时，如就此停止，不以期货交易高额回报为诱饵募集资金，则其所涉纠纷性质上可能只是民事借款纠纷，不会构成集资诈骗，最终失去人身自由，但王某甲的实际行为恰恰说明其不但未能做到以相对理性、平和的心态处理期货交易亏损，还越走越远，酿成人生的悲剧。</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四、投资者合法权益保护宣传教育案例节选</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1、案例1：理财产品亦有风险，投资购买也要谨慎</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案情概述】投资者A称因听信某证券公司营业部客户经理、理财总监的夸大宣传、承诺收益，购买了该公司的集合资产管理计划，导致其出现亏损，要求营业部赔偿其经济损失，并上门向当地证券业协会投诉；同时营业部因不堪投资者的频繁来访，向当地证券业协会提出调解请求。经过两次调解，双方签署了调解协议，营业部、理财经理、理财总监合计补偿投资者购买该产品50%的投资损失，双方达成和解。</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风险警示】在理财产品销售过程中，某些证券经营机构存在片面注重营销业绩，缺乏对从业人员进行职业道德教育的现象。投资者在购买理财产品时，不应片面注重投资回报，应充分了解产品风险，购买适合自己风险承受能力的产品。</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（摘自《“公平在身边”投资者保护系列丛书——典型案例集（二）》）</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2、案例2：谨防“内幕消息”风险，提高理性判断能力</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案情概述】不法分子打着“私募基金”的名义，声称有“内幕消息”，骗取投资者信任。郝某2013年成立“XX私募公司”，组织严密，有专人负责公司的整体运作。公司的“话务员”每天打电话：“您好，这里是XX投资公司，请问您有兴趣炒股吗？我们可以为您提供可靠的内幕消息……”。“话务员”通过贴心的服务，“循循善诱”投资者，使投资者“入会”，缴纳“会费”、“保证金”，公司为投资者荐股，实施诈骗。</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风险警示】广大投资者面对各种私募基金、各种名义的高收益产品、荐股软件等，一定要有理性的判断：一是学习必要的证券市场基础知识，对来电声称提供专业证券服务的人员一定要提高警惕；二是到中国证监会、当地证监局或行业协会官方网站查询，或者到当地的证券期货经营构现场查询此类机构是否为合法机构；三是树立正确投资理念，谨慎对待高利诱惑，识别非法证券期货活动。</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（摘自《“公平在身边”投资者保护系列丛书——典型案例集（二）》）</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3、案例3：谨防“电信诈骗”风险，切勿上当受骗</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案情概述】不法分子冒用证券公司、证券投资咨询机构名义，借助电话、网络等平台实施电信诈骗活动。2011年6月中旬，自称福建汇海创业投资有限公司（以下简称“福建汇海”）工作人员的郭某通过随机拨打电话方式与B女士取得联系，宣称所推荐股票买入可盈利，资金短期翻倍，只需缴纳1.5万元服务费。B女士于2011年6月底汇入郭某个人银行账号1万元，买入郭某推荐的股票，从未盈利，且被深度套牢。质问郭某，辩称市场行情不好。</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2011年9月初，郭某再次向B女士打电话，称有办法帮助其解套盈利：福建汇海与海通证券合作承接某公司从美国回归大陆创业板上市业务，B女士很幸运被抽中可购买该公司正在发售的“原始股”，现在买入上市后卖出可翻倍盈利。经受不住诱惑的B女士落入设计好的陷阱，向郭某的个人银行账号汇入6.3万元，取得了伪造的公司股权凭证。</w:t>
      </w:r>
    </w:p>
    <w:p>
      <w:pPr>
        <w:jc w:val="left"/>
        <w:rPr>
          <w:rFonts w:hint="eastAsia" w:ascii="华文仿宋" w:hAnsi="华文仿宋" w:eastAsia="华文仿宋" w:cs="华文仿宋"/>
          <w:b w:val="0"/>
          <w:bCs w:val="0"/>
          <w:i w:val="0"/>
          <w:iCs w:val="0"/>
          <w:sz w:val="28"/>
          <w:szCs w:val="28"/>
          <w:lang w:val="en-US" w:eastAsia="zh-CN"/>
        </w:rPr>
      </w:pP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风险警示】投资者进行证券期货投资首先务必确定是否为中国证监会批准的合法证券期货经营机构。投资者应增强识别、抵制、防范各类涉及证券电信诈骗活动的意识和能力，不能轻易相信陌生电话、QQ、微信等方式的所谓投资机会宣传，决不能轻易给陌生人汇款，不参与不明真相高风险的投资活动。当难以准确辨别投资信息真伪时，可向经中国证监会批准的合法证券、期货经营机构或当地监管部门咨询、核实。一旦发现上当受骗，应妥善收集、保存证据，及时向公安机关报案，为公安机关及时侦破案件提供有利时机。</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（摘自《“公平在身边”投资者保护系列丛书——典型案例集（二）》）</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4、</w:t>
      </w:r>
      <w:r>
        <w:rPr>
          <w:rFonts w:hint="eastAsia" w:ascii="华文仿宋" w:hAnsi="华文仿宋" w:eastAsia="华文仿宋" w:cs="华文仿宋"/>
          <w:b/>
          <w:bCs/>
          <w:i w:val="0"/>
          <w:iCs w:val="0"/>
          <w:sz w:val="28"/>
          <w:szCs w:val="28"/>
          <w:lang w:val="en-US" w:eastAsia="zh-CN"/>
        </w:rPr>
        <w:t>案例4：以代客理财、收益分成等名义从事非法证券投资咨询活动。</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投资者王某接到某投资公司电话，业务员称该公司为专业证券投资机构，提供证券咨询服务，可以向投资者推荐股票，由投资者自行操作，利润三七分成，过往推荐业绩特好。</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抱着试试看的心态，王某同意与该咨询公司合作。第一只股票赚了1万，王某按照约定给公司汇去了3000元。可是随后推荐的几只股票却连续下跌，短短数日亏损达数万元。王某想找公司的业务员讨要说法，而电话却再也打不通了。</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手法分析：不法分子以“承诺收益”、“利润分成”、“坐庄操盘”等形式吸引投资者合作炒股。不法分子往往随意向投资者推荐几只股票，找赚了钱的投资者进行利润分成，一旦推荐的股票发生大幅下跌就再不露面了或等下一个人上钩。这种由投资者自己操作的手法看似安全，实质类似“扔飞镖”的游戏，不法分子总能碰上小比例赚钱的投资者进行收益分成，对大比例亏损的投资者却一逃了之。一些投资者不明真相，很容易上当受骗。</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专家提醒：“承诺收益”、“利润分成”、“坐庄操盘”均属于违法违规证券活动，不法分子往往以“钓鱼”方式进行诈骗，欺诈性很强，投资者接到这样的电话或信息，一定要特别留意，不要上当。</w:t>
      </w:r>
    </w:p>
    <w:p>
      <w:pPr>
        <w:jc w:val="left"/>
        <w:rPr>
          <w:rFonts w:hint="eastAsia" w:ascii="华文仿宋" w:hAnsi="华文仿宋" w:eastAsia="华文仿宋" w:cs="华文仿宋"/>
          <w:b/>
          <w:bCs/>
          <w:i w:val="0"/>
          <w:iCs w:val="0"/>
          <w:sz w:val="28"/>
          <w:szCs w:val="28"/>
          <w:lang w:val="en-US" w:eastAsia="zh-CN"/>
        </w:rPr>
      </w:pPr>
      <w:r>
        <w:rPr>
          <w:rFonts w:hint="eastAsia" w:ascii="华文仿宋" w:hAnsi="华文仿宋" w:eastAsia="华文仿宋" w:cs="华文仿宋"/>
          <w:b/>
          <w:bCs/>
          <w:i w:val="0"/>
          <w:iCs w:val="0"/>
          <w:sz w:val="28"/>
          <w:szCs w:val="28"/>
          <w:lang w:val="en-US" w:eastAsia="zh-CN"/>
        </w:rPr>
        <w:t>5、案例5：通过假冒或仿冒合法证券经营服务机构之名从事非法证券投资咨询活动。</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投资者张某接到金某来电，称其是国内知名的Z证券公司员工，通过交易所得知他的股票账户亏损，Z证券公司可以为其推荐股票，帮助赚钱。</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出于对Z证券公司声誉的信任，张某向金某提供的账户汇入了3个月的会员费6000元。此后，金某多次通过手机飞信和电话向张某推荐股票。</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但是，张某据此操作非但没有从其推荐的股票获得预期的收益，反而出现了亏损。感觉不妙的张某致电Z证券公司后才知自己上当受骗。</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手法分析：不法分子为实施诈骗，直接假冒知名证券公司、基金公司、证券研究所名义，或采用与这些证券经营机构近似的名称，蒙骗不明真相的投资者。手法虽然简单，但投资者却屡屡中招。</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专家提醒：投资者对于来电、来访声称提供专业证券服务的人员，一定要提高警惕，可以向监管部门咨询或到相关机构营业场所问询等途径，核实相关公司的工商执照及证券业务资质情况，核实相关人员的身份和资质，防止上当受骗。</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bCs/>
          <w:i w:val="0"/>
          <w:iCs w:val="0"/>
          <w:sz w:val="28"/>
          <w:szCs w:val="28"/>
          <w:lang w:val="en-US" w:eastAsia="zh-CN"/>
        </w:rPr>
        <w:t>6、案例6：以约定盈利分成的方式从事代客操盘</w:t>
      </w:r>
      <w:r>
        <w:rPr>
          <w:rFonts w:hint="eastAsia" w:ascii="华文仿宋" w:hAnsi="华文仿宋" w:eastAsia="华文仿宋" w:cs="华文仿宋"/>
          <w:b w:val="0"/>
          <w:bCs w:val="0"/>
          <w:i w:val="0"/>
          <w:iCs w:val="0"/>
          <w:sz w:val="28"/>
          <w:szCs w:val="28"/>
          <w:lang w:val="en-US" w:eastAsia="zh-CN"/>
        </w:rPr>
        <w:t>。</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投资者吴某接到深圳某投资管理公司的电话，称公司是专门从事股票研究的机构，现在推出一种新的理财产品，无需缴纳会员费，只需将自己的证券账户号码及交易密码告诉业务员，由公司组织专家团队为其操作，公司保证客户资金安全，且保证客户至少不会“赔本”。随后该公司主动给吴某发来合同样本。</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吴某想，反正我也没交服务费，银行密码又在自己手中，资金也很安全，“天上掉下了个馅饼”，于是他决定试一下。经过反复权衡，吴某随后与该公司签订了合同，将证券账户号码和交易密码告知对方。但随后吴某的股票账户并没有像公司先前宣称的那样迅速升值，而是在短短数日内大幅缩水，亏损严重。</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手法分析：不法机构以“无需缴纳会员费”为投资者心理突破口，以账户、资金均在投资者自己手中打消投资者顾虑，抛出对客户承诺投资收益或无投资损失的诱饵，诱使客户交出账户操作权，同意其直接代替客户操作。实质上，骗子很可能对多个上当投资者的账户与自己的账户进行反向操作，使自己获利，投资者亏损。</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专家提醒：投资者要精心保护好自己的身份信息、账户号码和交易密码，不要轻易泄露给不法分子，不要给非法证券活动以可乘之机。</w:t>
      </w:r>
    </w:p>
    <w:p>
      <w:pPr>
        <w:jc w:val="left"/>
        <w:rPr>
          <w:rFonts w:hint="eastAsia" w:ascii="华文仿宋" w:hAnsi="华文仿宋" w:eastAsia="华文仿宋" w:cs="华文仿宋"/>
          <w:b w:val="0"/>
          <w:bCs w:val="0"/>
          <w:i w:val="0"/>
          <w:iCs w:val="0"/>
          <w:sz w:val="28"/>
          <w:szCs w:val="28"/>
          <w:lang w:val="en-US" w:eastAsia="zh-CN"/>
        </w:rPr>
      </w:pPr>
      <w:r>
        <w:rPr>
          <w:rFonts w:hint="eastAsia" w:ascii="华文仿宋" w:hAnsi="华文仿宋" w:eastAsia="华文仿宋" w:cs="华文仿宋"/>
          <w:b w:val="0"/>
          <w:bCs w:val="0"/>
          <w:i w:val="0"/>
          <w:iCs w:val="0"/>
          <w:sz w:val="28"/>
          <w:szCs w:val="28"/>
          <w:lang w:val="en-US" w:eastAsia="zh-CN"/>
        </w:rPr>
        <w:t xml:space="preserve">    关于非法证券活动受害人的救济途径，根据最高人民法院、最高人民检察院、公安部、中国证券监督管理委员会《关于整治非法证券活动有关问题的通知》有关规定，如果非法证券活动构成犯罪，被害人应当通过公安、司法机关刑事追赃程序追偿；如果非法证券活动仅是一般违法行为而没有构成犯罪，当事人符合民事诉讼法规定的起诉条件的，可以通过民事诉讼程序请求赔偿。</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Palatino Linotype">
    <w:altName w:val="Book Antiqua"/>
    <w:panose1 w:val="020405020505050303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inline distT="0" distB="0" distL="114300" distR="114300">
          <wp:extent cx="1393190" cy="327660"/>
          <wp:effectExtent l="0" t="0" r="16510" b="15240"/>
          <wp:docPr id="1" name="图片 1" descr="集成期货金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成期货金色LOGO"/>
                  <pic:cNvPicPr>
                    <a:picLocks noChangeAspect="1"/>
                  </pic:cNvPicPr>
                </pic:nvPicPr>
                <pic:blipFill>
                  <a:blip r:embed="rId1"/>
                  <a:stretch>
                    <a:fillRect/>
                  </a:stretch>
                </pic:blipFill>
                <pic:spPr>
                  <a:xfrm>
                    <a:off x="0" y="0"/>
                    <a:ext cx="1393190" cy="327660"/>
                  </a:xfrm>
                  <a:prstGeom prst="rect">
                    <a:avLst/>
                  </a:prstGeom>
                </pic:spPr>
              </pic:pic>
            </a:graphicData>
          </a:graphic>
        </wp:inline>
      </w:drawing>
    </w:r>
    <w:r>
      <w:rPr>
        <w:rFonts w:hint="eastAsia"/>
        <w:lang w:val="en-US" w:eastAsia="zh-CN"/>
      </w:rPr>
      <w:t xml:space="preserve">                                             投资者教育及保护材料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647D2"/>
    <w:multiLevelType w:val="singleLevel"/>
    <w:tmpl w:val="57C647D2"/>
    <w:lvl w:ilvl="0" w:tentative="0">
      <w:start w:val="2"/>
      <w:numFmt w:val="decimal"/>
      <w:suff w:val="nothing"/>
      <w:lvlText w:val="%1）"/>
      <w:lvlJc w:val="left"/>
    </w:lvl>
  </w:abstractNum>
  <w:abstractNum w:abstractNumId="1">
    <w:nsid w:val="57C64876"/>
    <w:multiLevelType w:val="singleLevel"/>
    <w:tmpl w:val="57C6487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B4936"/>
    <w:rsid w:val="19AB4936"/>
    <w:rsid w:val="23CC69A9"/>
    <w:rsid w:val="2DB55E73"/>
    <w:rsid w:val="3B976D84"/>
    <w:rsid w:val="4CA17178"/>
    <w:rsid w:val="55752B68"/>
    <w:rsid w:val="5C4B73FB"/>
    <w:rsid w:val="5E89359C"/>
    <w:rsid w:val="6F0234D1"/>
    <w:rsid w:val="726C5D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2016-08-31T01:24:00Z</dcterms:created>
  <dc:creator>Administrator</dc:creator>
  <cp:lastModifiedBy>Administrator</cp:lastModifiedBy>
  <dcterms:modified xsi:type="dcterms:W3CDTF">2016-11-02T07:50:02Z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