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6" w:beforeAutospacing="0" w:after="76" w:afterAutospacing="0" w:line="540" w:lineRule="atLeast"/>
        <w:ind w:left="0" w:right="0"/>
        <w:jc w:val="center"/>
        <w:rPr>
          <w:rFonts w:ascii="黑体" w:hAnsi="宋体" w:eastAsia="黑体" w:cs="黑体"/>
          <w:sz w:val="30"/>
          <w:szCs w:val="30"/>
        </w:rPr>
      </w:pPr>
      <w:r>
        <w:rPr>
          <w:rFonts w:hint="eastAsia" w:ascii="黑体" w:hAnsi="宋体" w:eastAsia="黑体" w:cs="黑体"/>
          <w:sz w:val="30"/>
          <w:szCs w:val="30"/>
        </w:rPr>
        <w:t>私募投资基金管理人登记和基金备案办法(试行)</w:t>
      </w:r>
    </w:p>
    <w:p>
      <w:pPr>
        <w:jc w:val="center"/>
        <w:rPr>
          <w:rFonts w:hint="eastAsia"/>
          <w:sz w:val="28"/>
          <w:szCs w:val="28"/>
        </w:rPr>
      </w:pPr>
      <w:r>
        <w:rPr>
          <w:rFonts w:hint="eastAsia"/>
          <w:sz w:val="28"/>
          <w:szCs w:val="28"/>
        </w:rPr>
        <w:t>第一章 总则</w:t>
      </w:r>
    </w:p>
    <w:p>
      <w:pPr>
        <w:rPr>
          <w:rFonts w:hint="eastAsia"/>
          <w:sz w:val="28"/>
          <w:szCs w:val="28"/>
        </w:rPr>
      </w:pPr>
      <w:r>
        <w:rPr>
          <w:rFonts w:hint="eastAsia"/>
          <w:sz w:val="28"/>
          <w:szCs w:val="28"/>
        </w:rPr>
        <w:t>　　第一条 为规范私募投资基金业务，保护投资者合法权益，促进私募投资基金行业健康发展，根据《证券投资基金法》、《中央编办关于私募股权基金管理职责分工的通知》和中国证券监督管理委员会(以下简称中国证监会)有关规定，制定本办法。</w:t>
      </w:r>
    </w:p>
    <w:p>
      <w:pPr>
        <w:rPr>
          <w:rFonts w:hint="eastAsia"/>
          <w:sz w:val="28"/>
          <w:szCs w:val="28"/>
        </w:rPr>
      </w:pPr>
      <w:r>
        <w:rPr>
          <w:rFonts w:hint="eastAsia"/>
          <w:sz w:val="28"/>
          <w:szCs w:val="28"/>
        </w:rPr>
        <w:t>　　第二条 本办法所称私募投资基金(以下简称私募基金)，系指以非公开方式向合格投资者募集资金设立的投资基金，包括资产由基金管理人或者普通合伙人管理的以投资活动为目的设立的公司或者合伙企业。</w:t>
      </w:r>
    </w:p>
    <w:p>
      <w:pPr>
        <w:rPr>
          <w:rFonts w:hint="eastAsia"/>
          <w:sz w:val="28"/>
          <w:szCs w:val="28"/>
        </w:rPr>
      </w:pPr>
      <w:r>
        <w:rPr>
          <w:rFonts w:hint="eastAsia"/>
          <w:sz w:val="28"/>
          <w:szCs w:val="28"/>
        </w:rPr>
        <w:t>　　第三条 中国证券投资基金业协会(以下简称基金业协会)按照本办法规定办理私募基金管理人登记及私募基金备案，对私募基金业务活动进行自律管理。</w:t>
      </w:r>
    </w:p>
    <w:p>
      <w:pPr>
        <w:rPr>
          <w:rFonts w:hint="eastAsia"/>
          <w:sz w:val="28"/>
          <w:szCs w:val="28"/>
        </w:rPr>
      </w:pPr>
      <w:r>
        <w:rPr>
          <w:rFonts w:hint="eastAsia"/>
          <w:sz w:val="28"/>
          <w:szCs w:val="28"/>
        </w:rPr>
        <w:t>　　第四条 私募基金管理人应当提供私募基金登记和备案所需的文件和信息，保证所提供文件和信息的真实性、准确性、完整性。</w:t>
      </w:r>
    </w:p>
    <w:p>
      <w:pPr>
        <w:jc w:val="center"/>
        <w:rPr>
          <w:rFonts w:hint="eastAsia"/>
          <w:sz w:val="28"/>
          <w:szCs w:val="28"/>
        </w:rPr>
      </w:pPr>
      <w:r>
        <w:rPr>
          <w:rFonts w:hint="eastAsia"/>
          <w:sz w:val="28"/>
          <w:szCs w:val="28"/>
        </w:rPr>
        <w:t>第二章 基金管理人登记</w:t>
      </w:r>
    </w:p>
    <w:p>
      <w:pPr>
        <w:rPr>
          <w:rFonts w:hint="eastAsia"/>
          <w:sz w:val="28"/>
          <w:szCs w:val="28"/>
        </w:rPr>
      </w:pPr>
      <w:r>
        <w:rPr>
          <w:rFonts w:hint="eastAsia"/>
          <w:sz w:val="28"/>
          <w:szCs w:val="28"/>
        </w:rPr>
        <w:t>　　第五条 私募基金管理人应当向基金业协会履行基金管理人登记手续并申请成为基金业协会会员。</w:t>
      </w:r>
    </w:p>
    <w:p>
      <w:pPr>
        <w:rPr>
          <w:rFonts w:hint="eastAsia"/>
          <w:sz w:val="28"/>
          <w:szCs w:val="28"/>
        </w:rPr>
      </w:pPr>
      <w:r>
        <w:rPr>
          <w:rFonts w:hint="eastAsia"/>
          <w:sz w:val="28"/>
          <w:szCs w:val="28"/>
        </w:rPr>
        <w:t>　　第六条 私募基金管理人申请登记，应当通过私募基金登记备案系统，如实填报基金管理人基本信息、高级管理人员及其他从业人员基本信息、股东或合伙人基本信息、管理基金基本信息。</w:t>
      </w:r>
    </w:p>
    <w:p>
      <w:pPr>
        <w:rPr>
          <w:rFonts w:hint="eastAsia"/>
          <w:sz w:val="28"/>
          <w:szCs w:val="28"/>
        </w:rPr>
      </w:pPr>
      <w:r>
        <w:rPr>
          <w:rFonts w:hint="eastAsia"/>
          <w:sz w:val="28"/>
          <w:szCs w:val="28"/>
        </w:rPr>
        <w:t>　　第七条 登记申请材料不完备或不符合规定的，私募基金管理人应当根据基金业协会的要求及时补正。</w:t>
      </w:r>
    </w:p>
    <w:p>
      <w:pPr>
        <w:rPr>
          <w:rFonts w:hint="eastAsia"/>
          <w:sz w:val="28"/>
          <w:szCs w:val="28"/>
        </w:rPr>
      </w:pPr>
      <w:r>
        <w:rPr>
          <w:rFonts w:hint="eastAsia"/>
          <w:sz w:val="28"/>
          <w:szCs w:val="28"/>
        </w:rPr>
        <w:t>　　申请登记期间，登记事项发生重大变化的，私募基金管理人应当及时告知基金业协会并变更申请登记内容。</w:t>
      </w:r>
    </w:p>
    <w:p>
      <w:pPr>
        <w:rPr>
          <w:rFonts w:hint="eastAsia"/>
          <w:sz w:val="28"/>
          <w:szCs w:val="28"/>
        </w:rPr>
      </w:pPr>
      <w:r>
        <w:rPr>
          <w:rFonts w:hint="eastAsia"/>
          <w:sz w:val="28"/>
          <w:szCs w:val="28"/>
        </w:rPr>
        <w:t>　　第八条 基金业协会可以采取约谈高级管理人员、现场检查、向中国证监会及其派出机构、相关专业协会征询意见等方式对私募基金管理人提供的登记申请材料进行核查。</w:t>
      </w:r>
    </w:p>
    <w:p>
      <w:pPr>
        <w:rPr>
          <w:rFonts w:hint="eastAsia"/>
          <w:sz w:val="28"/>
          <w:szCs w:val="28"/>
        </w:rPr>
      </w:pPr>
      <w:r>
        <w:rPr>
          <w:rFonts w:hint="eastAsia"/>
          <w:sz w:val="28"/>
          <w:szCs w:val="28"/>
        </w:rPr>
        <w:t>　　第九条 私募基金管理人提供的登记申请材料完备的，基金业协会应当自收齐登记材料之日起20个工作日内，以通过网站公示私募基金管理人基本情况的方式，为私募基金管理人办结登记手续。网站公示的私募基金管理人基本情况包括私募基金管理人的名称、成立时间、登记时间、住所、联系方式、主要负责人等基本信息以及基本诚信信息。</w:t>
      </w:r>
    </w:p>
    <w:p>
      <w:pPr>
        <w:rPr>
          <w:rFonts w:hint="eastAsia"/>
          <w:sz w:val="28"/>
          <w:szCs w:val="28"/>
        </w:rPr>
      </w:pPr>
      <w:r>
        <w:rPr>
          <w:rFonts w:hint="eastAsia"/>
          <w:sz w:val="28"/>
          <w:szCs w:val="28"/>
        </w:rPr>
        <w:t>　　公示信息不构成对私募基金管理人投资管理能力、持续合规情况的认可，不作为基金资产安全的保证。</w:t>
      </w:r>
    </w:p>
    <w:p>
      <w:pPr>
        <w:rPr>
          <w:rFonts w:hint="eastAsia"/>
          <w:sz w:val="28"/>
          <w:szCs w:val="28"/>
        </w:rPr>
      </w:pPr>
      <w:r>
        <w:rPr>
          <w:rFonts w:hint="eastAsia"/>
          <w:sz w:val="28"/>
          <w:szCs w:val="28"/>
        </w:rPr>
        <w:t>　　第十条 经登记后的私募基金管理人依法解散、被依法撤销或者被依法宣告破产的，基金业协会应当及时注销基金管理人登记。</w:t>
      </w:r>
    </w:p>
    <w:p>
      <w:pPr>
        <w:jc w:val="center"/>
        <w:rPr>
          <w:rFonts w:hint="eastAsia"/>
          <w:sz w:val="28"/>
          <w:szCs w:val="28"/>
        </w:rPr>
      </w:pPr>
      <w:r>
        <w:rPr>
          <w:rFonts w:hint="eastAsia"/>
          <w:sz w:val="28"/>
          <w:szCs w:val="28"/>
        </w:rPr>
        <w:t>第三章 基金备案</w:t>
      </w:r>
    </w:p>
    <w:p>
      <w:pPr>
        <w:rPr>
          <w:rFonts w:hint="eastAsia"/>
          <w:sz w:val="28"/>
          <w:szCs w:val="28"/>
        </w:rPr>
      </w:pPr>
      <w:r>
        <w:rPr>
          <w:rFonts w:hint="eastAsia"/>
          <w:sz w:val="28"/>
          <w:szCs w:val="28"/>
        </w:rPr>
        <w:t>　　第十一条 私募基金管理人应当在私募基金募集完毕后20个工作日内，通过私募基金登记备案系统进行备案，并根据私募基金的主要投资方向注明基金类别，如实填报基金名称、资本规模、投资者、基金合同(基金公司章程或者合伙协议，以下统称基金合同)等基本信息。</w:t>
      </w:r>
    </w:p>
    <w:p>
      <w:pPr>
        <w:rPr>
          <w:rFonts w:hint="eastAsia"/>
          <w:sz w:val="28"/>
          <w:szCs w:val="28"/>
        </w:rPr>
      </w:pPr>
      <w:r>
        <w:rPr>
          <w:rFonts w:hint="eastAsia"/>
          <w:sz w:val="28"/>
          <w:szCs w:val="28"/>
        </w:rPr>
        <w:t>　　公司型基金自聘管理团队管理基金资产的，该公司型基金在作为基金履行备案手续同时，还需作为基金管理人履行登记手续。</w:t>
      </w:r>
    </w:p>
    <w:p>
      <w:pPr>
        <w:rPr>
          <w:rFonts w:hint="eastAsia"/>
          <w:sz w:val="28"/>
          <w:szCs w:val="28"/>
        </w:rPr>
      </w:pPr>
      <w:r>
        <w:rPr>
          <w:rFonts w:hint="eastAsia"/>
          <w:sz w:val="28"/>
          <w:szCs w:val="28"/>
        </w:rPr>
        <w:t>　　第十二条 私募基金备案材料不完备或者不符合规定的，私募基金管理人应当根据基金业协会的要求及时补正。</w:t>
      </w:r>
    </w:p>
    <w:p>
      <w:pPr>
        <w:rPr>
          <w:rFonts w:hint="eastAsia"/>
          <w:sz w:val="28"/>
          <w:szCs w:val="28"/>
        </w:rPr>
      </w:pPr>
      <w:r>
        <w:rPr>
          <w:rFonts w:hint="eastAsia"/>
          <w:sz w:val="28"/>
          <w:szCs w:val="28"/>
        </w:rPr>
        <w:t>　　第十三条 私募基金备案材料完备且符合要求的，基金业协会应当自收齐备案材料之日起20个工作日内，以通过网站公示私募基金基本情况的方式，为私募基金办结备案手续。网站公示的私募基金基本情况包括私募基金的名称、成立时间、备案时间、主要投资领域、基金管理人及基金托管人等基本信息。</w:t>
      </w:r>
    </w:p>
    <w:p>
      <w:pPr>
        <w:rPr>
          <w:rFonts w:hint="eastAsia"/>
          <w:sz w:val="28"/>
          <w:szCs w:val="28"/>
        </w:rPr>
      </w:pPr>
      <w:r>
        <w:rPr>
          <w:rFonts w:hint="eastAsia"/>
          <w:sz w:val="28"/>
          <w:szCs w:val="28"/>
        </w:rPr>
        <w:t>　　第十四条 经备案的私募基金可以申请开立证券相关账户。</w:t>
      </w:r>
    </w:p>
    <w:p>
      <w:pPr>
        <w:jc w:val="center"/>
        <w:rPr>
          <w:rFonts w:hint="eastAsia"/>
          <w:sz w:val="28"/>
          <w:szCs w:val="28"/>
        </w:rPr>
      </w:pPr>
      <w:r>
        <w:rPr>
          <w:rFonts w:hint="eastAsia"/>
          <w:sz w:val="28"/>
          <w:szCs w:val="28"/>
        </w:rPr>
        <w:t>第四章 人员管理</w:t>
      </w:r>
    </w:p>
    <w:p>
      <w:pPr>
        <w:rPr>
          <w:rFonts w:hint="eastAsia"/>
          <w:sz w:val="28"/>
          <w:szCs w:val="28"/>
        </w:rPr>
      </w:pPr>
      <w:r>
        <w:rPr>
          <w:rFonts w:hint="eastAsia"/>
          <w:sz w:val="28"/>
          <w:szCs w:val="28"/>
        </w:rPr>
        <w:t>　　第十五条 私募基金管理人应当按照规定向基金业协会报送高级管理人员及其他基金从业人员基本信息及变更信息。</w:t>
      </w:r>
    </w:p>
    <w:p>
      <w:pPr>
        <w:rPr>
          <w:rFonts w:hint="eastAsia"/>
          <w:sz w:val="28"/>
          <w:szCs w:val="28"/>
        </w:rPr>
      </w:pPr>
      <w:r>
        <w:rPr>
          <w:rFonts w:hint="eastAsia"/>
          <w:sz w:val="28"/>
          <w:szCs w:val="28"/>
        </w:rPr>
        <w:t>　　第十六条 从事私募基金业务的专业人员应当具备私募基金从业资格。</w:t>
      </w:r>
    </w:p>
    <w:p>
      <w:pPr>
        <w:rPr>
          <w:rFonts w:hint="eastAsia"/>
          <w:sz w:val="28"/>
          <w:szCs w:val="28"/>
        </w:rPr>
      </w:pPr>
      <w:r>
        <w:rPr>
          <w:rFonts w:hint="eastAsia"/>
          <w:sz w:val="28"/>
          <w:szCs w:val="28"/>
        </w:rPr>
        <w:t>　　具备以下条件之一的，可以认定为具有私募基金从业资格：</w:t>
      </w:r>
    </w:p>
    <w:p>
      <w:pPr>
        <w:rPr>
          <w:rFonts w:hint="eastAsia"/>
          <w:sz w:val="28"/>
          <w:szCs w:val="28"/>
        </w:rPr>
      </w:pPr>
      <w:r>
        <w:rPr>
          <w:rFonts w:hint="eastAsia"/>
          <w:sz w:val="28"/>
          <w:szCs w:val="28"/>
        </w:rPr>
        <w:t>　　(一)通过基金业协会组织的私募基金从业资格考试；</w:t>
      </w:r>
    </w:p>
    <w:p>
      <w:pPr>
        <w:rPr>
          <w:rFonts w:hint="eastAsia"/>
          <w:sz w:val="28"/>
          <w:szCs w:val="28"/>
        </w:rPr>
      </w:pPr>
      <w:r>
        <w:rPr>
          <w:rFonts w:hint="eastAsia"/>
          <w:sz w:val="28"/>
          <w:szCs w:val="28"/>
        </w:rPr>
        <w:t>　　(二)最近三年从事投资管理相关业务；</w:t>
      </w:r>
    </w:p>
    <w:p>
      <w:pPr>
        <w:rPr>
          <w:rFonts w:hint="eastAsia"/>
          <w:sz w:val="28"/>
          <w:szCs w:val="28"/>
        </w:rPr>
      </w:pPr>
      <w:r>
        <w:rPr>
          <w:rFonts w:hint="eastAsia"/>
          <w:sz w:val="28"/>
          <w:szCs w:val="28"/>
        </w:rPr>
        <w:t>　　(三)基金业协会认定的其他情形。</w:t>
      </w:r>
    </w:p>
    <w:p>
      <w:pPr>
        <w:rPr>
          <w:rFonts w:hint="eastAsia"/>
          <w:sz w:val="28"/>
          <w:szCs w:val="28"/>
        </w:rPr>
      </w:pPr>
      <w:r>
        <w:rPr>
          <w:rFonts w:hint="eastAsia"/>
          <w:sz w:val="28"/>
          <w:szCs w:val="28"/>
        </w:rPr>
        <w:t>　　第十七条 私募基金管理人的高级管理人员应当诚实守信，最近三年没有重大失信记录，未被中国证监会采取市场禁入措施。</w:t>
      </w:r>
    </w:p>
    <w:p>
      <w:pPr>
        <w:rPr>
          <w:rFonts w:hint="eastAsia"/>
          <w:sz w:val="28"/>
          <w:szCs w:val="28"/>
        </w:rPr>
      </w:pPr>
      <w:r>
        <w:rPr>
          <w:rFonts w:hint="eastAsia"/>
          <w:sz w:val="28"/>
          <w:szCs w:val="28"/>
        </w:rPr>
        <w:t>　　前款所称高级管理人员指私募基金管理人的董事长、总经理、副总经理、执行事务合伙人(委派代表)、合规风控负责人以及实际履行上述职务的其他人员。</w:t>
      </w:r>
    </w:p>
    <w:p>
      <w:pPr>
        <w:rPr>
          <w:rFonts w:hint="eastAsia"/>
          <w:sz w:val="28"/>
          <w:szCs w:val="28"/>
        </w:rPr>
      </w:pPr>
      <w:r>
        <w:rPr>
          <w:rFonts w:hint="eastAsia"/>
          <w:sz w:val="28"/>
          <w:szCs w:val="28"/>
        </w:rPr>
        <w:t>　　第十八条 私募基金从业人员应当定期参加基金业协会或其认可机构组织的执业培训。</w:t>
      </w:r>
    </w:p>
    <w:p>
      <w:pPr>
        <w:jc w:val="center"/>
        <w:rPr>
          <w:rFonts w:hint="eastAsia"/>
          <w:sz w:val="28"/>
          <w:szCs w:val="28"/>
        </w:rPr>
      </w:pPr>
      <w:r>
        <w:rPr>
          <w:rFonts w:hint="eastAsia"/>
          <w:sz w:val="28"/>
          <w:szCs w:val="28"/>
        </w:rPr>
        <w:t>第五章 信息报送</w:t>
      </w:r>
    </w:p>
    <w:p>
      <w:pPr>
        <w:rPr>
          <w:rFonts w:hint="eastAsia"/>
          <w:sz w:val="28"/>
          <w:szCs w:val="28"/>
        </w:rPr>
      </w:pPr>
      <w:r>
        <w:rPr>
          <w:rFonts w:hint="eastAsia"/>
          <w:sz w:val="28"/>
          <w:szCs w:val="28"/>
        </w:rPr>
        <w:t>　　第十九条 私募基金管理人应当在每月结束之日起5个工作日内，更新所管理的私募证券投资基金相关信息，包括基金规模、单位净值、投资者数量等。</w:t>
      </w:r>
    </w:p>
    <w:p>
      <w:pPr>
        <w:rPr>
          <w:rFonts w:hint="eastAsia"/>
          <w:sz w:val="28"/>
          <w:szCs w:val="28"/>
        </w:rPr>
      </w:pPr>
      <w:r>
        <w:rPr>
          <w:rFonts w:hint="eastAsia"/>
          <w:sz w:val="28"/>
          <w:szCs w:val="28"/>
        </w:rPr>
        <w:t>　　第二十条 私募基金管理人应当在每季度结束之日起10个工作日内，更新所管理的私募股权投资基金等非证券类私募基金的相关信息，包括认缴规模、实缴规模、投资者数量、主要投资方向等。</w:t>
      </w:r>
    </w:p>
    <w:p>
      <w:pPr>
        <w:rPr>
          <w:rFonts w:hint="eastAsia"/>
          <w:sz w:val="28"/>
          <w:szCs w:val="28"/>
        </w:rPr>
      </w:pPr>
      <w:r>
        <w:rPr>
          <w:rFonts w:hint="eastAsia"/>
          <w:sz w:val="28"/>
          <w:szCs w:val="28"/>
        </w:rPr>
        <w:t>　　第二十一条 私募基金管理人应当于每年度结束之日起20个工作日内，更新私募基金管理人、股东或合伙人、高级管理人员及其他从业人员、所管理的私募基金等基本信息。</w:t>
      </w:r>
    </w:p>
    <w:p>
      <w:pPr>
        <w:rPr>
          <w:rFonts w:hint="eastAsia"/>
          <w:sz w:val="28"/>
          <w:szCs w:val="28"/>
        </w:rPr>
      </w:pPr>
      <w:r>
        <w:rPr>
          <w:rFonts w:hint="eastAsia"/>
          <w:sz w:val="28"/>
          <w:szCs w:val="28"/>
        </w:rPr>
        <w:t>　　私募基金管理人应当于每年度四月底之前，通过私募基金登记备案系统填报经会计师事务所审计的年度财务报告。</w:t>
      </w:r>
    </w:p>
    <w:p>
      <w:pPr>
        <w:rPr>
          <w:rFonts w:hint="eastAsia"/>
          <w:sz w:val="28"/>
          <w:szCs w:val="28"/>
        </w:rPr>
      </w:pPr>
      <w:r>
        <w:rPr>
          <w:rFonts w:hint="eastAsia"/>
          <w:sz w:val="28"/>
          <w:szCs w:val="28"/>
        </w:rPr>
        <w:t>　　受托管理享受国家财税政策扶持的创业投资基金的基金管理人，还应当报送所受托管理创业投资基金投资中小微企业情况及社会经济贡献情况等报告。</w:t>
      </w:r>
    </w:p>
    <w:p>
      <w:pPr>
        <w:rPr>
          <w:rFonts w:hint="eastAsia"/>
          <w:sz w:val="28"/>
          <w:szCs w:val="28"/>
        </w:rPr>
      </w:pPr>
      <w:r>
        <w:rPr>
          <w:rFonts w:hint="eastAsia"/>
          <w:sz w:val="28"/>
          <w:szCs w:val="28"/>
        </w:rPr>
        <w:t>　　第二十二条 私募基金管理人发生以下重大事项的，应当在10个工作日内向基金业协会报告：</w:t>
      </w:r>
    </w:p>
    <w:p>
      <w:pPr>
        <w:rPr>
          <w:rFonts w:hint="eastAsia"/>
          <w:sz w:val="28"/>
          <w:szCs w:val="28"/>
        </w:rPr>
      </w:pPr>
      <w:r>
        <w:rPr>
          <w:rFonts w:hint="eastAsia"/>
          <w:sz w:val="28"/>
          <w:szCs w:val="28"/>
        </w:rPr>
        <w:t>　　(一)私募基金管理人的名称、高级管理人员发生变更；</w:t>
      </w:r>
    </w:p>
    <w:p>
      <w:pPr>
        <w:rPr>
          <w:rFonts w:hint="eastAsia"/>
          <w:sz w:val="28"/>
          <w:szCs w:val="28"/>
        </w:rPr>
      </w:pPr>
      <w:r>
        <w:rPr>
          <w:rFonts w:hint="eastAsia"/>
          <w:sz w:val="28"/>
          <w:szCs w:val="28"/>
        </w:rPr>
        <w:t>　　(二)私募基金管理人的控股股东、实际控制人或者执行事务合伙人发生变更；</w:t>
      </w:r>
    </w:p>
    <w:p>
      <w:pPr>
        <w:rPr>
          <w:rFonts w:hint="eastAsia"/>
          <w:sz w:val="28"/>
          <w:szCs w:val="28"/>
        </w:rPr>
      </w:pPr>
      <w:r>
        <w:rPr>
          <w:rFonts w:hint="eastAsia"/>
          <w:sz w:val="28"/>
          <w:szCs w:val="28"/>
        </w:rPr>
        <w:t>　　(三)私募基金管理人分立或者合并；</w:t>
      </w:r>
    </w:p>
    <w:p>
      <w:pPr>
        <w:rPr>
          <w:rFonts w:hint="eastAsia"/>
          <w:sz w:val="28"/>
          <w:szCs w:val="28"/>
        </w:rPr>
      </w:pPr>
      <w:r>
        <w:rPr>
          <w:rFonts w:hint="eastAsia"/>
          <w:sz w:val="28"/>
          <w:szCs w:val="28"/>
        </w:rPr>
        <w:t>　　(四)私募基金管理人或高级管理人员存在重大违法违规行为；</w:t>
      </w:r>
    </w:p>
    <w:p>
      <w:pPr>
        <w:rPr>
          <w:rFonts w:hint="eastAsia"/>
          <w:sz w:val="28"/>
          <w:szCs w:val="28"/>
        </w:rPr>
      </w:pPr>
      <w:r>
        <w:rPr>
          <w:rFonts w:hint="eastAsia"/>
          <w:sz w:val="28"/>
          <w:szCs w:val="28"/>
        </w:rPr>
        <w:t>　　(五)依法解散、被依法撤销或者被依法宣告破产；</w:t>
      </w:r>
    </w:p>
    <w:p>
      <w:pPr>
        <w:rPr>
          <w:rFonts w:hint="eastAsia"/>
          <w:sz w:val="28"/>
          <w:szCs w:val="28"/>
        </w:rPr>
      </w:pPr>
      <w:r>
        <w:rPr>
          <w:rFonts w:hint="eastAsia"/>
          <w:sz w:val="28"/>
          <w:szCs w:val="28"/>
        </w:rPr>
        <w:t>　　(六)可能损害投资者利益的其他重大事项。</w:t>
      </w:r>
    </w:p>
    <w:p>
      <w:pPr>
        <w:rPr>
          <w:rFonts w:hint="eastAsia"/>
          <w:sz w:val="28"/>
          <w:szCs w:val="28"/>
        </w:rPr>
      </w:pPr>
      <w:r>
        <w:rPr>
          <w:rFonts w:hint="eastAsia"/>
          <w:sz w:val="28"/>
          <w:szCs w:val="28"/>
        </w:rPr>
        <w:t>　　第二十三条 私募基金运行期间，发生以下重大事项的，私募</w:t>
      </w:r>
    </w:p>
    <w:p>
      <w:pPr>
        <w:rPr>
          <w:rFonts w:hint="eastAsia"/>
          <w:sz w:val="28"/>
          <w:szCs w:val="28"/>
        </w:rPr>
      </w:pPr>
      <w:r>
        <w:rPr>
          <w:rFonts w:hint="eastAsia"/>
          <w:sz w:val="28"/>
          <w:szCs w:val="28"/>
        </w:rPr>
        <w:t>　　基金管理人应当在5个工作日内向基金业协会报告：</w:t>
      </w:r>
    </w:p>
    <w:p>
      <w:pPr>
        <w:rPr>
          <w:rFonts w:hint="eastAsia"/>
          <w:sz w:val="28"/>
          <w:szCs w:val="28"/>
        </w:rPr>
      </w:pPr>
      <w:r>
        <w:rPr>
          <w:rFonts w:hint="eastAsia"/>
          <w:sz w:val="28"/>
          <w:szCs w:val="28"/>
        </w:rPr>
        <w:t>　　(一)基金合同发生重大变化；</w:t>
      </w:r>
    </w:p>
    <w:p>
      <w:pPr>
        <w:rPr>
          <w:rFonts w:hint="eastAsia"/>
          <w:sz w:val="28"/>
          <w:szCs w:val="28"/>
        </w:rPr>
      </w:pPr>
      <w:r>
        <w:rPr>
          <w:rFonts w:hint="eastAsia"/>
          <w:sz w:val="28"/>
          <w:szCs w:val="28"/>
        </w:rPr>
        <w:t>　　(二)投资者数量超过法律法规规定；</w:t>
      </w:r>
    </w:p>
    <w:p>
      <w:pPr>
        <w:rPr>
          <w:rFonts w:hint="eastAsia"/>
          <w:sz w:val="28"/>
          <w:szCs w:val="28"/>
        </w:rPr>
      </w:pPr>
      <w:r>
        <w:rPr>
          <w:rFonts w:hint="eastAsia"/>
          <w:sz w:val="28"/>
          <w:szCs w:val="28"/>
        </w:rPr>
        <w:t>　　(三)基金发生清盘或清算；</w:t>
      </w:r>
    </w:p>
    <w:p>
      <w:pPr>
        <w:rPr>
          <w:rFonts w:hint="eastAsia"/>
          <w:sz w:val="28"/>
          <w:szCs w:val="28"/>
        </w:rPr>
      </w:pPr>
      <w:r>
        <w:rPr>
          <w:rFonts w:hint="eastAsia"/>
          <w:sz w:val="28"/>
          <w:szCs w:val="28"/>
        </w:rPr>
        <w:t>　　(四)私募基金管理人、基金托管人发生变更；</w:t>
      </w:r>
    </w:p>
    <w:p>
      <w:pPr>
        <w:rPr>
          <w:rFonts w:hint="eastAsia"/>
          <w:sz w:val="28"/>
          <w:szCs w:val="28"/>
        </w:rPr>
      </w:pPr>
      <w:r>
        <w:rPr>
          <w:rFonts w:hint="eastAsia"/>
          <w:sz w:val="28"/>
          <w:szCs w:val="28"/>
        </w:rPr>
        <w:t>　　(五)对基金持续运行、投资者利益、资产净值产生重大影响的其他事件。</w:t>
      </w:r>
    </w:p>
    <w:p>
      <w:pPr>
        <w:rPr>
          <w:rFonts w:hint="eastAsia"/>
          <w:sz w:val="28"/>
          <w:szCs w:val="28"/>
        </w:rPr>
      </w:pPr>
      <w:r>
        <w:rPr>
          <w:rFonts w:hint="eastAsia"/>
          <w:sz w:val="28"/>
          <w:szCs w:val="28"/>
        </w:rPr>
        <w:t>　　第二十四条 基金业协会每季度对私募基金管理人、从业人员及私募基金情况进行统计分析，向中国证监会报告。</w:t>
      </w:r>
    </w:p>
    <w:p>
      <w:pPr>
        <w:jc w:val="center"/>
        <w:rPr>
          <w:rFonts w:hint="eastAsia"/>
          <w:sz w:val="28"/>
          <w:szCs w:val="28"/>
        </w:rPr>
      </w:pPr>
      <w:r>
        <w:rPr>
          <w:rFonts w:hint="eastAsia"/>
          <w:sz w:val="28"/>
          <w:szCs w:val="28"/>
        </w:rPr>
        <w:t>第六章 自律管理</w:t>
      </w:r>
    </w:p>
    <w:p>
      <w:pPr>
        <w:rPr>
          <w:rFonts w:hint="eastAsia"/>
          <w:sz w:val="28"/>
          <w:szCs w:val="28"/>
        </w:rPr>
      </w:pPr>
      <w:r>
        <w:rPr>
          <w:rFonts w:hint="eastAsia"/>
          <w:sz w:val="28"/>
          <w:szCs w:val="28"/>
        </w:rPr>
        <w:t>　　第二十五条 基金业协会根据私募基金管理人所管理的基金类型设立相关专业委员会，实施差别化的自律管理。</w:t>
      </w:r>
    </w:p>
    <w:p>
      <w:pPr>
        <w:rPr>
          <w:rFonts w:hint="eastAsia"/>
          <w:sz w:val="28"/>
          <w:szCs w:val="28"/>
        </w:rPr>
      </w:pPr>
      <w:r>
        <w:rPr>
          <w:rFonts w:hint="eastAsia"/>
          <w:sz w:val="28"/>
          <w:szCs w:val="28"/>
        </w:rPr>
        <w:t>　　第二十六条 基金业协会可以对私募基金管理人及其从业人员实施非现场检查和现场检查，要求私募基金管理人及其从业人员提供有关的资料和信息。私募基金管理人及其从业人员应当配合检查。</w:t>
      </w:r>
    </w:p>
    <w:p>
      <w:pPr>
        <w:rPr>
          <w:rFonts w:hint="eastAsia"/>
          <w:sz w:val="28"/>
          <w:szCs w:val="28"/>
        </w:rPr>
      </w:pPr>
      <w:r>
        <w:rPr>
          <w:rFonts w:hint="eastAsia"/>
          <w:sz w:val="28"/>
          <w:szCs w:val="28"/>
        </w:rPr>
        <w:t>　　第二十七条 基金业协会建立私募基金管理人及其从业人员诚信档案，跟踪记录其诚信信息。</w:t>
      </w:r>
    </w:p>
    <w:p>
      <w:pPr>
        <w:rPr>
          <w:rFonts w:hint="eastAsia"/>
          <w:sz w:val="28"/>
          <w:szCs w:val="28"/>
        </w:rPr>
      </w:pPr>
      <w:r>
        <w:rPr>
          <w:rFonts w:hint="eastAsia"/>
          <w:sz w:val="28"/>
          <w:szCs w:val="28"/>
        </w:rPr>
        <w:t>　　第二十八条 基金业协会接受对私募基金管理人或基金从业人员的投诉，可以对投诉事项进行调查、核实，并依法进行处理。</w:t>
      </w:r>
    </w:p>
    <w:p>
      <w:pPr>
        <w:rPr>
          <w:rFonts w:hint="eastAsia"/>
          <w:sz w:val="28"/>
          <w:szCs w:val="28"/>
        </w:rPr>
      </w:pPr>
      <w:r>
        <w:rPr>
          <w:rFonts w:hint="eastAsia"/>
          <w:sz w:val="28"/>
          <w:szCs w:val="28"/>
        </w:rPr>
        <w:t>　　第二十九条 基金业协会可以根据当事人平等、自愿的原则对私募基金业务纠纷进行调解，维护投资者合法权益。</w:t>
      </w:r>
    </w:p>
    <w:p>
      <w:pPr>
        <w:rPr>
          <w:rFonts w:hint="eastAsia"/>
          <w:sz w:val="28"/>
          <w:szCs w:val="28"/>
        </w:rPr>
      </w:pPr>
      <w:r>
        <w:rPr>
          <w:rFonts w:hint="eastAsia"/>
          <w:sz w:val="28"/>
          <w:szCs w:val="28"/>
        </w:rPr>
        <w:t>　　第三十条 私募基金管理人、高级管理人员及其他从业人员存在以下情形的，基金业协会视情节轻重可以对私募基金管理人采取警告、行业内通报批评、公开谴责、暂停受理基金备案、取消会员资格等措施，对高级管理人员及其他从业人员采取警告、行业内通</w:t>
      </w:r>
    </w:p>
    <w:p>
      <w:pPr>
        <w:rPr>
          <w:rFonts w:hint="eastAsia"/>
          <w:sz w:val="28"/>
          <w:szCs w:val="28"/>
        </w:rPr>
      </w:pPr>
      <w:r>
        <w:rPr>
          <w:rFonts w:hint="eastAsia"/>
          <w:sz w:val="28"/>
          <w:szCs w:val="28"/>
        </w:rPr>
        <w:t>　　报批评、公开谴责、取消从业资格等措施，并记入诚信档案。情节严重的，移交中国证监会处理：</w:t>
      </w:r>
    </w:p>
    <w:p>
      <w:pPr>
        <w:rPr>
          <w:rFonts w:hint="eastAsia"/>
          <w:sz w:val="28"/>
          <w:szCs w:val="28"/>
        </w:rPr>
      </w:pPr>
      <w:r>
        <w:rPr>
          <w:rFonts w:hint="eastAsia"/>
          <w:sz w:val="28"/>
          <w:szCs w:val="28"/>
        </w:rPr>
        <w:t>　　(一)违反《证券投资基金法》及本办法规定；</w:t>
      </w:r>
    </w:p>
    <w:p>
      <w:pPr>
        <w:rPr>
          <w:rFonts w:hint="eastAsia"/>
          <w:sz w:val="28"/>
          <w:szCs w:val="28"/>
        </w:rPr>
      </w:pPr>
      <w:r>
        <w:rPr>
          <w:rFonts w:hint="eastAsia"/>
          <w:sz w:val="28"/>
          <w:szCs w:val="28"/>
        </w:rPr>
        <w:t>　　(二)在私募基金管理人登记、基金备案及其他信息报送中提供虚假材料和信息，或者隐瞒重要事实；</w:t>
      </w:r>
    </w:p>
    <w:p>
      <w:pPr>
        <w:rPr>
          <w:rFonts w:hint="eastAsia"/>
          <w:sz w:val="28"/>
          <w:szCs w:val="28"/>
        </w:rPr>
      </w:pPr>
      <w:r>
        <w:rPr>
          <w:rFonts w:hint="eastAsia"/>
          <w:sz w:val="28"/>
          <w:szCs w:val="28"/>
        </w:rPr>
        <w:t>　　(三)法律法规、中国证监会及基金业协会规定的其他情形。</w:t>
      </w:r>
    </w:p>
    <w:p>
      <w:pPr>
        <w:rPr>
          <w:rFonts w:hint="eastAsia"/>
          <w:sz w:val="28"/>
          <w:szCs w:val="28"/>
        </w:rPr>
      </w:pPr>
      <w:r>
        <w:rPr>
          <w:rFonts w:hint="eastAsia"/>
          <w:sz w:val="28"/>
          <w:szCs w:val="28"/>
        </w:rPr>
        <w:t>　　第三十一条 私募基金管理人未按规定及时填报业务数据或者进行信息更新的，基金业协会责令改正；一年累计两次以上未按时填报业务数据、进行信息更新的，基金业协会可以对主要责任人员采取警告措施，情节严重的向中国证监会报告。</w:t>
      </w:r>
    </w:p>
    <w:p>
      <w:pPr>
        <w:jc w:val="center"/>
        <w:rPr>
          <w:rFonts w:hint="eastAsia"/>
          <w:sz w:val="28"/>
          <w:szCs w:val="28"/>
        </w:rPr>
      </w:pPr>
      <w:r>
        <w:rPr>
          <w:rFonts w:hint="eastAsia"/>
          <w:sz w:val="28"/>
          <w:szCs w:val="28"/>
        </w:rPr>
        <w:t>第七章 附则</w:t>
      </w:r>
    </w:p>
    <w:p>
      <w:pPr>
        <w:rPr>
          <w:rFonts w:hint="eastAsia"/>
          <w:sz w:val="28"/>
          <w:szCs w:val="28"/>
        </w:rPr>
      </w:pPr>
      <w:bookmarkStart w:id="0" w:name="_GoBack"/>
      <w:bookmarkEnd w:id="0"/>
      <w:r>
        <w:rPr>
          <w:rFonts w:hint="eastAsia"/>
          <w:sz w:val="28"/>
          <w:szCs w:val="28"/>
        </w:rPr>
        <w:t>　　第三十二条 本办法自2014年2月7日起施行，由基金业协会负责解释。</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C8136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18"/>
      <w:szCs w:val="18"/>
      <w:lang w:val="en-US" w:eastAsia="zh-CN" w:bidi="ar"/>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 w:type="character" w:styleId="6">
    <w:name w:val="HTML Code"/>
    <w:basedOn w:val="3"/>
    <w:uiPriority w:val="0"/>
    <w:rPr>
      <w:rFonts w:ascii="Courier New" w:hAnsi="Courier New"/>
      <w:sz w:val="20"/>
      <w:bdr w:val="none" w:color="auto" w:sz="0" w:space="0"/>
    </w:rPr>
  </w:style>
  <w:style w:type="character" w:customStyle="1" w:styleId="8">
    <w:name w:val="roll_down_over"/>
    <w:basedOn w:val="3"/>
    <w:uiPriority w:val="0"/>
  </w:style>
  <w:style w:type="character" w:customStyle="1" w:styleId="9">
    <w:name w:val="p_flat"/>
    <w:basedOn w:val="3"/>
    <w:uiPriority w:val="0"/>
    <w:rPr>
      <w:color w:val="000000"/>
      <w:bdr w:val="none" w:color="auto" w:sz="0" w:space="0"/>
    </w:rPr>
  </w:style>
  <w:style w:type="character" w:customStyle="1" w:styleId="10">
    <w:name w:val="bds_more"/>
    <w:basedOn w:val="3"/>
    <w:uiPriority w:val="0"/>
    <w:rPr>
      <w:bdr w:val="none" w:color="auto" w:sz="0" w:space="0"/>
    </w:rPr>
  </w:style>
  <w:style w:type="character" w:customStyle="1" w:styleId="11">
    <w:name w:val="bds_more1"/>
    <w:basedOn w:val="3"/>
    <w:uiPriority w:val="0"/>
    <w:rPr>
      <w:rFonts w:hint="eastAsia" w:ascii="宋体" w:hAnsi="宋体" w:eastAsia="宋体" w:cs="宋体"/>
      <w:bdr w:val="none" w:color="auto" w:sz="0" w:space="0"/>
    </w:rPr>
  </w:style>
  <w:style w:type="character" w:customStyle="1" w:styleId="12">
    <w:name w:val="bds_more2"/>
    <w:basedOn w:val="3"/>
    <w:uiPriority w:val="0"/>
    <w:rPr>
      <w:bdr w:val="none" w:color="auto" w:sz="0" w:space="0"/>
    </w:rPr>
  </w:style>
  <w:style w:type="character" w:customStyle="1" w:styleId="13">
    <w:name w:val="ms_news_no"/>
    <w:basedOn w:val="3"/>
    <w:uiPriority w:val="0"/>
    <w:rPr>
      <w:color w:val="999999"/>
    </w:rPr>
  </w:style>
  <w:style w:type="character" w:customStyle="1" w:styleId="14">
    <w:name w:val="bds_nopic"/>
    <w:basedOn w:val="3"/>
    <w:uiPriority w:val="0"/>
  </w:style>
  <w:style w:type="character" w:customStyle="1" w:styleId="15">
    <w:name w:val="r_up"/>
    <w:basedOn w:val="3"/>
    <w:uiPriority w:val="0"/>
    <w:rPr>
      <w:color w:val="E60012"/>
    </w:rPr>
  </w:style>
  <w:style w:type="character" w:customStyle="1" w:styleId="16">
    <w:name w:val="r_up1"/>
    <w:basedOn w:val="3"/>
    <w:uiPriority w:val="0"/>
    <w:rPr>
      <w:color w:val="E60012"/>
      <w:bdr w:val="none" w:color="auto" w:sz="0" w:space="0"/>
    </w:rPr>
  </w:style>
  <w:style w:type="character" w:customStyle="1" w:styleId="17">
    <w:name w:val="over"/>
    <w:basedOn w:val="3"/>
    <w:uiPriority w:val="0"/>
  </w:style>
  <w:style w:type="character" w:customStyle="1" w:styleId="18">
    <w:name w:val="price"/>
    <w:basedOn w:val="3"/>
    <w:uiPriority w:val="0"/>
  </w:style>
  <w:style w:type="character" w:customStyle="1" w:styleId="19">
    <w:name w:val="price1"/>
    <w:basedOn w:val="3"/>
    <w:uiPriority w:val="0"/>
    <w:rPr>
      <w:color w:val="000000"/>
    </w:rPr>
  </w:style>
  <w:style w:type="character" w:customStyle="1" w:styleId="20">
    <w:name w:val="a1"/>
    <w:basedOn w:val="3"/>
    <w:uiPriority w:val="0"/>
    <w:rPr>
      <w:bdr w:val="none" w:color="auto" w:sz="0" w:space="0"/>
    </w:rPr>
  </w:style>
  <w:style w:type="character" w:customStyle="1" w:styleId="21">
    <w:name w:val="roll_down"/>
    <w:basedOn w:val="3"/>
    <w:uiPriority w:val="0"/>
  </w:style>
  <w:style w:type="character" w:customStyle="1" w:styleId="22">
    <w:name w:val="roll_up"/>
    <w:basedOn w:val="3"/>
    <w:uiPriority w:val="0"/>
  </w:style>
  <w:style w:type="character" w:customStyle="1" w:styleId="23">
    <w:name w:val="roll_up_over"/>
    <w:basedOn w:val="3"/>
    <w:uiPriority w:val="0"/>
  </w:style>
  <w:style w:type="character" w:customStyle="1" w:styleId="24">
    <w:name w:val="r_down"/>
    <w:basedOn w:val="3"/>
    <w:uiPriority w:val="0"/>
    <w:rPr>
      <w:color w:val="069717"/>
    </w:rPr>
  </w:style>
  <w:style w:type="character" w:customStyle="1" w:styleId="25">
    <w:name w:val="r_down1"/>
    <w:basedOn w:val="3"/>
    <w:uiPriority w:val="0"/>
    <w:rPr>
      <w:color w:val="069717"/>
    </w:rPr>
  </w:style>
  <w:style w:type="character" w:customStyle="1" w:styleId="26">
    <w:name w:val="p_down"/>
    <w:basedOn w:val="3"/>
    <w:uiPriority w:val="0"/>
    <w:rPr>
      <w:color w:val="069717"/>
      <w:bdr w:val="none" w:color="auto" w:sz="0" w:space="0"/>
    </w:rPr>
  </w:style>
  <w:style w:type="character" w:customStyle="1" w:styleId="27">
    <w:name w:val="p_down1"/>
    <w:basedOn w:val="3"/>
    <w:uiPriority w:val="0"/>
    <w:rPr>
      <w:color w:val="069717"/>
      <w:bdr w:val="none" w:color="auto" w:sz="0" w:space="0"/>
    </w:rPr>
  </w:style>
  <w:style w:type="character" w:customStyle="1" w:styleId="28">
    <w:name w:val="r_flat"/>
    <w:basedOn w:val="3"/>
    <w:uiPriority w:val="0"/>
    <w:rPr>
      <w:color w:val="000000"/>
    </w:rPr>
  </w:style>
  <w:style w:type="character" w:customStyle="1" w:styleId="29">
    <w:name w:val="r_flat1"/>
    <w:basedOn w:val="3"/>
    <w:uiPriority w:val="0"/>
  </w:style>
  <w:style w:type="character" w:customStyle="1" w:styleId="30">
    <w:name w:val="p_up"/>
    <w:basedOn w:val="3"/>
    <w:uiPriority w:val="0"/>
    <w:rPr>
      <w:color w:val="E60012"/>
      <w:bdr w:val="none" w:color="auto" w:sz="0" w:space="0"/>
    </w:rPr>
  </w:style>
  <w:style w:type="character" w:customStyle="1" w:styleId="31">
    <w:name w:val="p_up1"/>
    <w:basedOn w:val="3"/>
    <w:uiPriority w:val="0"/>
    <w:rPr>
      <w:color w:val="E60012"/>
      <w:bdr w:val="none" w:color="auto" w:sz="0" w:space="0"/>
    </w:rPr>
  </w:style>
  <w:style w:type="character" w:customStyle="1" w:styleId="32">
    <w:name w:val="woman"/>
    <w:basedOn w:val="3"/>
    <w:uiPriority w:val="0"/>
  </w:style>
  <w:style w:type="character" w:customStyle="1" w:styleId="33">
    <w:name w:val="menu_data"/>
    <w:basedOn w:val="3"/>
    <w:uiPriority w:val="0"/>
  </w:style>
  <w:style w:type="character" w:customStyle="1" w:styleId="34">
    <w:name w:val="menu_news"/>
    <w:basedOn w:val="3"/>
    <w:uiPriority w:val="0"/>
  </w:style>
  <w:style w:type="character" w:customStyle="1" w:styleId="35">
    <w:name w:val="menu_tools"/>
    <w:basedOn w:val="3"/>
    <w:uiPriority w:val="0"/>
  </w:style>
  <w:style w:type="character" w:customStyle="1" w:styleId="36">
    <w:name w:val="menu_other"/>
    <w:basedOn w:val="3"/>
    <w:uiPriority w:val="0"/>
  </w:style>
  <w:style w:type="character" w:customStyle="1" w:styleId="37">
    <w:name w:val="ms_txt"/>
    <w:basedOn w:val="3"/>
    <w:uiPriority w:val="0"/>
  </w:style>
  <w:style w:type="character" w:customStyle="1" w:styleId="38">
    <w:name w:val="deleted"/>
    <w:basedOn w:val="3"/>
    <w:uiPriority w:val="0"/>
  </w:style>
  <w:style w:type="character" w:customStyle="1" w:styleId="39">
    <w:name w:val="deleted_over"/>
    <w:basedOn w:val="3"/>
    <w:uiPriority w:val="0"/>
  </w:style>
  <w:style w:type="character" w:customStyle="1" w:styleId="40">
    <w:name w:val="closed"/>
    <w:basedOn w:val="3"/>
    <w:uiPriority w:val="0"/>
  </w:style>
  <w:style w:type="character" w:customStyle="1" w:styleId="41">
    <w:name w:val="closed_over"/>
    <w:basedOn w:val="3"/>
    <w:uiPriority w:val="0"/>
  </w:style>
  <w:style w:type="character" w:customStyle="1" w:styleId="42">
    <w:name w:val="photo_pre_no"/>
    <w:basedOn w:val="3"/>
    <w:uiPriority w:val="0"/>
  </w:style>
  <w:style w:type="character" w:customStyle="1" w:styleId="43">
    <w:name w:val="photo_pre"/>
    <w:basedOn w:val="3"/>
    <w:uiPriority w:val="0"/>
  </w:style>
  <w:style w:type="character" w:customStyle="1" w:styleId="44">
    <w:name w:val="photo_next_no"/>
    <w:basedOn w:val="3"/>
    <w:uiPriority w:val="0"/>
  </w:style>
  <w:style w:type="character" w:customStyle="1" w:styleId="45">
    <w:name w:val="photo_next"/>
    <w:basedOn w:val="3"/>
    <w:uiPriority w:val="0"/>
  </w:style>
  <w:style w:type="character" w:customStyle="1" w:styleId="46">
    <w:name w:val="tjjd_cs2"/>
    <w:basedOn w:val="3"/>
    <w:uiPriority w:val="0"/>
  </w:style>
  <w:style w:type="character" w:customStyle="1" w:styleId="47">
    <w:name w:val="gray"/>
    <w:basedOn w:val="3"/>
    <w:uiPriority w:val="0"/>
    <w:rPr>
      <w:color w:val="868686"/>
    </w:rPr>
  </w:style>
  <w:style w:type="character" w:customStyle="1" w:styleId="48">
    <w:name w:val="q3"/>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2016-06-21T08:04:10Z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