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比赛规则</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一、投资能力评比阶段规则</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（一）比赛采用朝阳永续平台、以实盘模拟交易方式进行；</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（二）每名参赛人员在比赛期间拥有1个模拟账户，初始金额为200万元，分配在“场内ETF组”、“公募基金配置组”各100万元，分别对应的投资标的为场内ETF和公募基金；</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none"/>
          <w:lang w:val="en-US" w:eastAsia="zh-CN"/>
        </w:rPr>
        <w:t>（三）本阶段结束（即12月1日）结算后参赛人员在“场内ETF组”、“公募基金配置组”中任一组别的平均仓位（即6月12日以来每天的仓位求和/交易天数）不足60%的，或未通过</w:t>
      </w:r>
      <w:r>
        <w:rPr>
          <w:rFonts w:hint="eastAsia" w:ascii="仿宋_GB2312" w:hAnsi="仿宋_GB2312" w:eastAsia="仿宋_GB2312" w:cs="仿宋_GB2312"/>
          <w:sz w:val="32"/>
          <w:szCs w:val="32"/>
          <w:highlight w:val="none"/>
          <w:u w:val="none"/>
        </w:rPr>
        <w:t>协会会员系统设置投资顾问职业道德与展业规范</w:t>
      </w:r>
      <w:r>
        <w:rPr>
          <w:rFonts w:hint="eastAsia" w:ascii="仿宋_GB2312" w:hAnsi="仿宋_GB2312" w:eastAsia="仿宋_GB2312" w:cs="仿宋_GB2312"/>
          <w:sz w:val="32"/>
          <w:szCs w:val="32"/>
          <w:highlight w:val="none"/>
          <w:u w:val="none"/>
          <w:lang w:val="en-US" w:eastAsia="zh-CN"/>
        </w:rPr>
        <w:t>答题的，</w:t>
      </w:r>
      <w:r>
        <w:rPr>
          <w:rFonts w:hint="eastAsia" w:ascii="仿宋_GB2312" w:hAnsi="仿宋_GB2312" w:eastAsia="仿宋_GB2312" w:cs="仿宋_GB2312"/>
          <w:sz w:val="32"/>
          <w:szCs w:val="32"/>
          <w:highlight w:val="none"/>
          <w:lang w:val="en-US" w:eastAsia="zh-CN"/>
        </w:rPr>
        <w:t>视为放弃该阶段比赛。</w:t>
      </w:r>
      <w:r>
        <w:rPr>
          <w:rFonts w:hint="eastAsia" w:ascii="仿宋_GB2312" w:hAnsi="仿宋_GB2312" w:eastAsia="仿宋_GB2312" w:cs="仿宋_GB2312"/>
          <w:sz w:val="32"/>
          <w:szCs w:val="32"/>
          <w:highlight w:val="none"/>
          <w:u w:val="none"/>
          <w:lang w:val="en-US" w:eastAsia="zh-CN"/>
        </w:rPr>
        <w:t>从开赛满1个月起至本阶段结束的期间，即7月12日-12月1日，系统会对未满足仓位条件的选手给出预警提醒</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（四）参赛人员在比赛期间，单只ETF或单只公募基金的持仓占比不超过该组别总资产的30%，</w:t>
      </w:r>
      <w:r>
        <w:rPr>
          <w:rFonts w:hint="eastAsia" w:ascii="仿宋_GB2312" w:hAnsi="仿宋_GB2312" w:eastAsia="仿宋_GB2312" w:cs="仿宋_GB2312"/>
          <w:b/>
          <w:bCs/>
          <w:strike w:val="0"/>
          <w:dstrike w:val="0"/>
          <w:sz w:val="32"/>
          <w:szCs w:val="32"/>
          <w:highlight w:val="none"/>
          <w:lang w:val="en-US" w:eastAsia="zh-CN"/>
        </w:rPr>
        <w:t>系统将设定超过30%后不能买入</w:t>
      </w:r>
      <w:r>
        <w:rPr>
          <w:rFonts w:hint="eastAsia" w:ascii="仿宋_GB2312" w:hAnsi="仿宋_GB2312" w:eastAsia="仿宋_GB2312" w:cs="仿宋_GB2312"/>
          <w:strike w:val="0"/>
          <w:dstrike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（五）从开赛至本阶段结束，“场内ETF组”、“公募基金配置组”单个组别的最大回撤值不超过15%</w:t>
      </w:r>
      <w:r>
        <w:rPr>
          <w:rFonts w:hint="eastAsia" w:ascii="仿宋_GB2312" w:hAnsi="仿宋_GB2312" w:eastAsia="仿宋_GB2312" w:cs="仿宋_GB2312"/>
          <w:sz w:val="32"/>
          <w:szCs w:val="32"/>
          <w:lang w:val="en-US" w:eastAsia="zh-CN"/>
        </w:rPr>
        <w:t>，否则将失去晋升顾问能力评比阶段的比赛资格。从开赛满1个月起至本阶段结束，即7月12日-12月1日，系统会对未满足仓位条件的选手给出预警提醒；</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（六）在本阶段结束，对参赛人员模拟账户的累计收益</w:t>
      </w:r>
      <w:r>
        <w:rPr>
          <w:rFonts w:hint="eastAsia" w:ascii="仿宋_GB2312" w:hAnsi="仿宋_GB2312" w:eastAsia="仿宋_GB2312" w:cs="仿宋_GB2312"/>
          <w:sz w:val="32"/>
          <w:szCs w:val="32"/>
          <w:highlight w:val="none"/>
          <w:lang w:val="en-US" w:eastAsia="zh-CN"/>
        </w:rPr>
        <w:t>率进行排名。通过</w:t>
      </w:r>
      <w:r>
        <w:rPr>
          <w:rFonts w:hint="eastAsia" w:ascii="仿宋_GB2312" w:hAnsi="仿宋_GB2312" w:eastAsia="仿宋_GB2312" w:cs="仿宋_GB2312"/>
          <w:b w:val="0"/>
          <w:bCs w:val="0"/>
          <w:sz w:val="32"/>
          <w:szCs w:val="32"/>
          <w:highlight w:val="none"/>
        </w:rPr>
        <w:t>职业道德与展业规范</w:t>
      </w:r>
      <w:r>
        <w:rPr>
          <w:rFonts w:hint="eastAsia" w:ascii="仿宋_GB2312" w:hAnsi="仿宋_GB2312" w:eastAsia="仿宋_GB2312" w:cs="仿宋_GB2312"/>
          <w:b w:val="0"/>
          <w:bCs w:val="0"/>
          <w:sz w:val="32"/>
          <w:szCs w:val="32"/>
          <w:highlight w:val="none"/>
          <w:lang w:val="en-US" w:eastAsia="zh-CN"/>
        </w:rPr>
        <w:t>答题且</w:t>
      </w:r>
      <w:r>
        <w:rPr>
          <w:rFonts w:hint="eastAsia" w:ascii="仿宋_GB2312" w:hAnsi="仿宋_GB2312" w:eastAsia="仿宋_GB2312" w:cs="仿宋_GB2312"/>
          <w:sz w:val="32"/>
          <w:szCs w:val="32"/>
          <w:highlight w:val="none"/>
          <w:lang w:val="en-US" w:eastAsia="zh-CN"/>
        </w:rPr>
        <w:t>累计收益率排名第21-50名</w:t>
      </w:r>
      <w:r>
        <w:rPr>
          <w:rFonts w:hint="eastAsia" w:ascii="仿宋_GB2312" w:hAnsi="仿宋_GB2312" w:eastAsia="仿宋_GB2312" w:cs="仿宋_GB2312"/>
          <w:b w:val="0"/>
          <w:bCs w:val="0"/>
          <w:sz w:val="32"/>
          <w:szCs w:val="32"/>
          <w:highlight w:val="none"/>
          <w:lang w:val="en-US" w:eastAsia="zh-CN"/>
        </w:rPr>
        <w:t>的，成为本次比</w:t>
      </w:r>
      <w:r>
        <w:rPr>
          <w:rFonts w:hint="eastAsia" w:ascii="仿宋_GB2312" w:hAnsi="仿宋_GB2312" w:eastAsia="仿宋_GB2312" w:cs="仿宋_GB2312"/>
          <w:sz w:val="32"/>
          <w:szCs w:val="32"/>
          <w:highlight w:val="none"/>
        </w:rPr>
        <w:t>赛第21-50名</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b w:val="0"/>
          <w:bCs w:val="0"/>
          <w:sz w:val="32"/>
          <w:szCs w:val="32"/>
          <w:highlight w:val="none"/>
        </w:rPr>
        <w:t>职业道德与展业规范</w:t>
      </w:r>
      <w:r>
        <w:rPr>
          <w:rFonts w:hint="eastAsia" w:ascii="仿宋_GB2312" w:hAnsi="仿宋_GB2312" w:eastAsia="仿宋_GB2312" w:cs="仿宋_GB2312"/>
          <w:b w:val="0"/>
          <w:bCs w:val="0"/>
          <w:sz w:val="32"/>
          <w:szCs w:val="32"/>
          <w:highlight w:val="none"/>
          <w:lang w:val="en-US" w:eastAsia="zh-CN"/>
        </w:rPr>
        <w:t>答题且</w:t>
      </w:r>
      <w:r>
        <w:rPr>
          <w:rFonts w:hint="eastAsia" w:ascii="仿宋_GB2312" w:hAnsi="仿宋_GB2312" w:eastAsia="仿宋_GB2312" w:cs="仿宋_GB2312"/>
          <w:sz w:val="32"/>
          <w:szCs w:val="32"/>
          <w:highlight w:val="none"/>
          <w:lang w:val="en-US" w:eastAsia="zh-CN"/>
        </w:rPr>
        <w:t>累计收益率排名前20</w:t>
      </w:r>
      <w:r>
        <w:rPr>
          <w:rFonts w:hint="eastAsia" w:ascii="仿宋_GB2312" w:hAnsi="仿宋_GB2312" w:eastAsia="仿宋_GB2312" w:cs="仿宋_GB2312"/>
          <w:b w:val="0"/>
          <w:bCs w:val="0"/>
          <w:sz w:val="32"/>
          <w:szCs w:val="32"/>
          <w:highlight w:val="none"/>
          <w:lang w:val="en-US" w:eastAsia="zh-CN"/>
        </w:rPr>
        <w:t>的，将</w:t>
      </w:r>
      <w:r>
        <w:rPr>
          <w:rFonts w:hint="eastAsia" w:ascii="仿宋_GB2312" w:hAnsi="仿宋_GB2312" w:eastAsia="仿宋_GB2312" w:cs="仿宋_GB2312"/>
          <w:sz w:val="32"/>
          <w:szCs w:val="32"/>
          <w:highlight w:val="none"/>
          <w:lang w:val="en-US" w:eastAsia="zh-CN"/>
        </w:rPr>
        <w:t>晋级顾问能力评比阶段比赛；</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（七）上述的仓位不足60%、单只基金</w:t>
      </w:r>
      <w:r>
        <w:rPr>
          <w:rFonts w:hint="eastAsia" w:ascii="仿宋_GB2312" w:hAnsi="仿宋_GB2312" w:eastAsia="仿宋_GB2312" w:cs="仿宋_GB2312"/>
          <w:strike w:val="0"/>
          <w:dstrike w:val="0"/>
          <w:sz w:val="32"/>
          <w:szCs w:val="32"/>
          <w:highlight w:val="none"/>
          <w:lang w:val="en-US" w:eastAsia="zh-CN"/>
        </w:rPr>
        <w:t>持仓占比不超过30%、</w:t>
      </w:r>
      <w:r>
        <w:rPr>
          <w:rFonts w:hint="eastAsia" w:ascii="仿宋_GB2312" w:hAnsi="仿宋_GB2312" w:eastAsia="仿宋_GB2312" w:cs="仿宋_GB2312"/>
          <w:sz w:val="32"/>
          <w:szCs w:val="32"/>
          <w:lang w:val="en-US" w:eastAsia="zh-CN"/>
        </w:rPr>
        <w:t>最大回撤值不超过15%均为绝对数值，不进行四舍五入取整。</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（八）模拟交易有关事项设置如下：</w:t>
      </w:r>
    </w:p>
    <w:tbl>
      <w:tblPr>
        <w:tblStyle w:val="4"/>
        <w:tblW w:w="975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8"/>
        <w:gridCol w:w="2012"/>
        <w:gridCol w:w="6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 w:hRule="atLeast"/>
        </w:trPr>
        <w:tc>
          <w:tcPr>
            <w:tcW w:w="1188" w:type="dxa"/>
            <w:vMerge w:val="restart"/>
            <w:shd w:val="clear" w:color="auto" w:fill="auto"/>
            <w:noWrap/>
            <w:vAlign w:val="center"/>
          </w:tcPr>
          <w:p>
            <w:pPr>
              <w:jc w:val="center"/>
            </w:pPr>
            <w:r>
              <w:rPr>
                <w:rFonts w:hint="eastAsia"/>
                <w:lang w:val="en-US" w:eastAsia="zh-CN"/>
              </w:rPr>
              <w:t>场内ETF</w:t>
            </w:r>
          </w:p>
        </w:tc>
        <w:tc>
          <w:tcPr>
            <w:tcW w:w="2012" w:type="dxa"/>
            <w:shd w:val="clear" w:color="auto" w:fill="auto"/>
            <w:noWrap/>
            <w:vAlign w:val="center"/>
          </w:tcPr>
          <w:p>
            <w:pPr>
              <w:jc w:val="center"/>
              <w:rPr>
                <w:rFonts w:hint="eastAsia"/>
              </w:rPr>
            </w:pPr>
            <w:r>
              <w:rPr>
                <w:rFonts w:hint="eastAsia"/>
                <w:lang w:val="en-US" w:eastAsia="zh-CN"/>
              </w:rPr>
              <w:t>初始账户金额</w:t>
            </w:r>
          </w:p>
        </w:tc>
        <w:tc>
          <w:tcPr>
            <w:tcW w:w="6550" w:type="dxa"/>
            <w:shd w:val="clear" w:color="auto" w:fill="FCE4D6"/>
            <w:noWrap/>
            <w:vAlign w:val="center"/>
          </w:tcPr>
          <w:p>
            <w:pPr>
              <w:rPr>
                <w:rFonts w:hint="eastAsia"/>
              </w:rPr>
            </w:pPr>
            <w:r>
              <w:rPr>
                <w:rFonts w:hint="eastAsia"/>
                <w:lang w:val="en-US" w:eastAsia="zh-CN"/>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88" w:type="dxa"/>
            <w:vMerge w:val="continue"/>
            <w:shd w:val="clear" w:color="auto" w:fill="auto"/>
            <w:noWrap/>
            <w:vAlign w:val="center"/>
          </w:tcPr>
          <w:p>
            <w:pPr>
              <w:jc w:val="center"/>
              <w:rPr>
                <w:rFonts w:hint="eastAsia"/>
              </w:rPr>
            </w:pPr>
          </w:p>
        </w:tc>
        <w:tc>
          <w:tcPr>
            <w:tcW w:w="2012" w:type="dxa"/>
            <w:shd w:val="clear" w:color="auto" w:fill="auto"/>
            <w:noWrap/>
            <w:vAlign w:val="center"/>
          </w:tcPr>
          <w:p>
            <w:pPr>
              <w:jc w:val="center"/>
              <w:rPr>
                <w:rFonts w:hint="eastAsia"/>
              </w:rPr>
            </w:pPr>
            <w:r>
              <w:rPr>
                <w:rFonts w:hint="eastAsia"/>
                <w:lang w:val="en-US" w:eastAsia="zh-CN"/>
              </w:rPr>
              <w:t>可交易产品范围</w:t>
            </w:r>
          </w:p>
        </w:tc>
        <w:tc>
          <w:tcPr>
            <w:tcW w:w="6550" w:type="dxa"/>
            <w:shd w:val="clear" w:color="auto" w:fill="FCE4D6"/>
            <w:noWrap/>
            <w:vAlign w:val="center"/>
          </w:tcPr>
          <w:p>
            <w:pPr>
              <w:rPr>
                <w:rFonts w:hint="eastAsia"/>
              </w:rPr>
            </w:pPr>
            <w:r>
              <w:rPr>
                <w:rFonts w:hint="eastAsia"/>
                <w:lang w:val="en-US" w:eastAsia="zh-CN"/>
              </w:rPr>
              <w:t>场内ETF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188" w:type="dxa"/>
            <w:vMerge w:val="continue"/>
            <w:shd w:val="clear" w:color="auto" w:fill="auto"/>
            <w:noWrap/>
            <w:vAlign w:val="center"/>
          </w:tcPr>
          <w:p>
            <w:pPr>
              <w:jc w:val="center"/>
              <w:rPr>
                <w:rFonts w:hint="eastAsia"/>
              </w:rPr>
            </w:pPr>
          </w:p>
        </w:tc>
        <w:tc>
          <w:tcPr>
            <w:tcW w:w="2012" w:type="dxa"/>
            <w:shd w:val="clear" w:color="auto" w:fill="auto"/>
            <w:noWrap/>
            <w:vAlign w:val="center"/>
          </w:tcPr>
          <w:p>
            <w:pPr>
              <w:jc w:val="center"/>
              <w:rPr>
                <w:rFonts w:hint="eastAsia"/>
              </w:rPr>
            </w:pPr>
            <w:r>
              <w:rPr>
                <w:rFonts w:hint="eastAsia"/>
                <w:lang w:val="en-US" w:eastAsia="zh-CN"/>
              </w:rPr>
              <w:t>佣金/费率</w:t>
            </w:r>
          </w:p>
        </w:tc>
        <w:tc>
          <w:tcPr>
            <w:tcW w:w="6550" w:type="dxa"/>
            <w:shd w:val="clear" w:color="auto" w:fill="FCE4D6"/>
            <w:vAlign w:val="center"/>
          </w:tcPr>
          <w:p>
            <w:pPr>
              <w:rPr>
                <w:rFonts w:hint="eastAsia"/>
              </w:rPr>
            </w:pPr>
            <w:r>
              <w:rPr>
                <w:rFonts w:hint="eastAsia"/>
                <w:lang w:val="en-US" w:eastAsia="zh-CN"/>
              </w:rPr>
              <w:t>交易佣金为千分之一，不计入其他费用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 w:hRule="atLeast"/>
        </w:trPr>
        <w:tc>
          <w:tcPr>
            <w:tcW w:w="1188" w:type="dxa"/>
            <w:vMerge w:val="continue"/>
            <w:shd w:val="clear" w:color="auto" w:fill="auto"/>
            <w:noWrap/>
            <w:vAlign w:val="center"/>
          </w:tcPr>
          <w:p>
            <w:pPr>
              <w:jc w:val="center"/>
              <w:rPr>
                <w:rFonts w:hint="eastAsia"/>
              </w:rPr>
            </w:pPr>
          </w:p>
        </w:tc>
        <w:tc>
          <w:tcPr>
            <w:tcW w:w="2012" w:type="dxa"/>
            <w:shd w:val="clear" w:color="auto" w:fill="auto"/>
            <w:noWrap/>
            <w:vAlign w:val="center"/>
          </w:tcPr>
          <w:p>
            <w:pPr>
              <w:jc w:val="center"/>
              <w:rPr>
                <w:rFonts w:hint="eastAsia"/>
              </w:rPr>
            </w:pPr>
            <w:r>
              <w:rPr>
                <w:rFonts w:hint="eastAsia"/>
                <w:lang w:val="en-US" w:eastAsia="zh-CN"/>
              </w:rPr>
              <w:t>风控限制</w:t>
            </w:r>
          </w:p>
        </w:tc>
        <w:tc>
          <w:tcPr>
            <w:tcW w:w="6550" w:type="dxa"/>
            <w:shd w:val="clear" w:color="auto" w:fill="FCE4D6"/>
            <w:vAlign w:val="center"/>
          </w:tcPr>
          <w:p>
            <w:pPr>
              <w:rPr>
                <w:rFonts w:hint="eastAsia"/>
              </w:rPr>
            </w:pPr>
            <w:r>
              <w:rPr>
                <w:rFonts w:hint="eastAsia"/>
                <w:lang w:val="en-US" w:eastAsia="zh-CN"/>
              </w:rPr>
              <w:t>* 单只标的持仓占比不超过30%</w:t>
            </w:r>
            <w:r>
              <w:rPr>
                <w:rFonts w:hint="eastAsia"/>
                <w:lang w:val="en-US" w:eastAsia="zh-CN"/>
              </w:rPr>
              <w:br w:type="textWrapping"/>
            </w:r>
            <w:r>
              <w:rPr>
                <w:rFonts w:hint="eastAsia"/>
                <w:lang w:val="en-US" w:eastAsia="zh-CN"/>
              </w:rPr>
              <w:t>* 持仓标的数量上限为20只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88" w:type="dxa"/>
            <w:vMerge w:val="continue"/>
            <w:shd w:val="clear" w:color="auto" w:fill="auto"/>
            <w:noWrap/>
            <w:vAlign w:val="center"/>
          </w:tcPr>
          <w:p>
            <w:pPr>
              <w:jc w:val="center"/>
              <w:rPr>
                <w:rFonts w:hint="eastAsia"/>
              </w:rPr>
            </w:pPr>
          </w:p>
        </w:tc>
        <w:tc>
          <w:tcPr>
            <w:tcW w:w="2012" w:type="dxa"/>
            <w:shd w:val="clear" w:color="auto" w:fill="auto"/>
            <w:noWrap/>
            <w:vAlign w:val="center"/>
          </w:tcPr>
          <w:p>
            <w:pPr>
              <w:jc w:val="center"/>
              <w:rPr>
                <w:rFonts w:hint="eastAsia"/>
              </w:rPr>
            </w:pPr>
            <w:r>
              <w:rPr>
                <w:rFonts w:hint="eastAsia"/>
                <w:lang w:val="en-US" w:eastAsia="zh-CN"/>
              </w:rPr>
              <w:t>风控预警</w:t>
            </w:r>
          </w:p>
        </w:tc>
        <w:tc>
          <w:tcPr>
            <w:tcW w:w="6550" w:type="dxa"/>
            <w:shd w:val="clear" w:color="auto" w:fill="auto"/>
            <w:vAlign w:val="center"/>
          </w:tcPr>
          <w:p>
            <w:pPr>
              <w:rPr>
                <w:rFonts w:hint="eastAsia"/>
              </w:rPr>
            </w:pPr>
            <w:r>
              <w:rPr>
                <w:rFonts w:hint="eastAsia"/>
                <w:lang w:val="en-US" w:eastAsia="zh-CN"/>
              </w:rPr>
              <w:t>* 平均仓位不足65%（&lt;60%无法参与榜单评选）</w:t>
            </w:r>
            <w:r>
              <w:rPr>
                <w:rFonts w:hint="eastAsia"/>
                <w:lang w:val="en-US" w:eastAsia="zh-CN"/>
              </w:rPr>
              <w:br w:type="textWrapping"/>
            </w:r>
            <w:r>
              <w:rPr>
                <w:rFonts w:hint="eastAsia"/>
                <w:lang w:val="en-US" w:eastAsia="zh-CN"/>
              </w:rPr>
              <w:t>* 最大回撤超过10%（&gt;15%则无法参与榜单评选）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188" w:type="dxa"/>
            <w:vMerge w:val="restart"/>
            <w:shd w:val="clear" w:color="auto" w:fill="auto"/>
            <w:noWrap/>
            <w:vAlign w:val="center"/>
          </w:tcPr>
          <w:p>
            <w:pPr>
              <w:jc w:val="center"/>
              <w:rPr>
                <w:rFonts w:hint="default"/>
                <w:lang w:val="en-US"/>
              </w:rPr>
            </w:pPr>
            <w:r>
              <w:rPr>
                <w:rFonts w:hint="eastAsia"/>
                <w:lang w:val="en-US" w:eastAsia="zh-CN"/>
              </w:rPr>
              <w:t>公募基金</w:t>
            </w:r>
          </w:p>
        </w:tc>
        <w:tc>
          <w:tcPr>
            <w:tcW w:w="2012" w:type="dxa"/>
            <w:shd w:val="clear" w:color="auto" w:fill="auto"/>
            <w:noWrap/>
            <w:vAlign w:val="center"/>
          </w:tcPr>
          <w:p>
            <w:pPr>
              <w:jc w:val="center"/>
              <w:rPr>
                <w:rFonts w:hint="eastAsia"/>
              </w:rPr>
            </w:pPr>
            <w:r>
              <w:rPr>
                <w:rFonts w:hint="eastAsia"/>
                <w:lang w:val="en-US" w:eastAsia="zh-CN"/>
              </w:rPr>
              <w:t>初始账户金额</w:t>
            </w:r>
          </w:p>
        </w:tc>
        <w:tc>
          <w:tcPr>
            <w:tcW w:w="6550" w:type="dxa"/>
            <w:shd w:val="clear" w:color="auto" w:fill="FCE4D6"/>
            <w:noWrap/>
            <w:vAlign w:val="center"/>
          </w:tcPr>
          <w:p>
            <w:pPr>
              <w:rPr>
                <w:rFonts w:hint="eastAsia"/>
              </w:rPr>
            </w:pPr>
            <w:r>
              <w:rPr>
                <w:rFonts w:hint="eastAsia"/>
                <w:lang w:val="en-US" w:eastAsia="zh-CN"/>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1188" w:type="dxa"/>
            <w:vMerge w:val="continue"/>
            <w:shd w:val="clear" w:color="auto" w:fill="auto"/>
            <w:noWrap/>
            <w:vAlign w:val="center"/>
          </w:tcPr>
          <w:p>
            <w:pPr>
              <w:rPr>
                <w:rFonts w:hint="eastAsia"/>
              </w:rPr>
            </w:pPr>
          </w:p>
        </w:tc>
        <w:tc>
          <w:tcPr>
            <w:tcW w:w="2012" w:type="dxa"/>
            <w:shd w:val="clear" w:color="auto" w:fill="auto"/>
            <w:noWrap/>
            <w:vAlign w:val="center"/>
          </w:tcPr>
          <w:p>
            <w:pPr>
              <w:jc w:val="center"/>
              <w:rPr>
                <w:rFonts w:hint="eastAsia"/>
              </w:rPr>
            </w:pPr>
            <w:r>
              <w:rPr>
                <w:rFonts w:hint="eastAsia"/>
                <w:lang w:val="en-US" w:eastAsia="zh-CN"/>
              </w:rPr>
              <w:t>交易产品范围</w:t>
            </w:r>
          </w:p>
        </w:tc>
        <w:tc>
          <w:tcPr>
            <w:tcW w:w="6550" w:type="dxa"/>
            <w:shd w:val="clear" w:color="auto" w:fill="FCE4D6"/>
            <w:vAlign w:val="center"/>
          </w:tcPr>
          <w:p>
            <w:pPr>
              <w:rPr>
                <w:rFonts w:hint="eastAsia"/>
              </w:rPr>
            </w:pPr>
            <w:r>
              <w:rPr>
                <w:rFonts w:hint="eastAsia"/>
                <w:lang w:val="en-US" w:eastAsia="zh-CN"/>
              </w:rPr>
              <w:t>全市场（剔除异常产品）</w:t>
            </w:r>
            <w:r>
              <w:rPr>
                <w:rFonts w:hint="eastAsia"/>
                <w:lang w:val="en-US" w:eastAsia="zh-CN"/>
              </w:rPr>
              <w:br w:type="textWrapping"/>
            </w:r>
            <w:r>
              <w:rPr>
                <w:rFonts w:hint="eastAsia"/>
                <w:lang w:val="en-US" w:eastAsia="zh-CN"/>
              </w:rPr>
              <w:t>* 剔除已终止产品</w:t>
            </w:r>
            <w:r>
              <w:rPr>
                <w:rFonts w:hint="eastAsia"/>
                <w:lang w:val="en-US" w:eastAsia="zh-CN"/>
              </w:rPr>
              <w:br w:type="textWrapping"/>
            </w:r>
            <w:r>
              <w:rPr>
                <w:rFonts w:hint="eastAsia"/>
                <w:lang w:val="en-US" w:eastAsia="zh-CN"/>
              </w:rPr>
              <w:t>* 剔除净值异常产品（14天未更新）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1188" w:type="dxa"/>
            <w:vMerge w:val="continue"/>
            <w:shd w:val="clear" w:color="auto" w:fill="auto"/>
            <w:noWrap/>
            <w:vAlign w:val="center"/>
          </w:tcPr>
          <w:p>
            <w:pPr>
              <w:rPr>
                <w:rFonts w:hint="eastAsia"/>
              </w:rPr>
            </w:pPr>
          </w:p>
        </w:tc>
        <w:tc>
          <w:tcPr>
            <w:tcW w:w="2012" w:type="dxa"/>
            <w:vMerge w:val="restart"/>
            <w:shd w:val="clear" w:color="auto" w:fill="auto"/>
            <w:noWrap/>
            <w:vAlign w:val="center"/>
          </w:tcPr>
          <w:p>
            <w:pPr>
              <w:jc w:val="center"/>
              <w:rPr>
                <w:rFonts w:hint="eastAsia"/>
              </w:rPr>
            </w:pPr>
            <w:r>
              <w:rPr>
                <w:rFonts w:hint="eastAsia"/>
                <w:lang w:val="en-US" w:eastAsia="zh-CN"/>
              </w:rPr>
              <w:t>费率设置</w:t>
            </w:r>
          </w:p>
        </w:tc>
        <w:tc>
          <w:tcPr>
            <w:tcW w:w="6550" w:type="dxa"/>
            <w:shd w:val="clear" w:color="auto" w:fill="FCE4D6"/>
            <w:vAlign w:val="center"/>
          </w:tcPr>
          <w:p>
            <w:pPr>
              <w:rPr>
                <w:rFonts w:hint="eastAsia"/>
              </w:rPr>
            </w:pPr>
            <w:r>
              <w:rPr>
                <w:rFonts w:hint="eastAsia"/>
                <w:lang w:val="en-US" w:eastAsia="zh-CN"/>
              </w:rPr>
              <w:t>申购费：</w:t>
            </w:r>
            <w:r>
              <w:rPr>
                <w:rFonts w:hint="eastAsia"/>
                <w:lang w:val="en-US" w:eastAsia="zh-CN"/>
              </w:rPr>
              <w:br w:type="textWrapping"/>
            </w:r>
            <w:r>
              <w:rPr>
                <w:rFonts w:hint="eastAsia"/>
                <w:lang w:val="en-US" w:eastAsia="zh-CN"/>
              </w:rPr>
              <w:t>股票型、混合型、FOF型、QDII型、另类型 0.6%；</w:t>
            </w:r>
            <w:r>
              <w:rPr>
                <w:rFonts w:hint="eastAsia"/>
                <w:lang w:val="en-US" w:eastAsia="zh-CN"/>
              </w:rPr>
              <w:br w:type="textWrapping"/>
            </w:r>
            <w:r>
              <w:rPr>
                <w:rFonts w:hint="eastAsia"/>
                <w:lang w:val="en-US" w:eastAsia="zh-CN"/>
              </w:rPr>
              <w:t>债券型按0.1%；货币类免申购费；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5" w:hRule="atLeast"/>
        </w:trPr>
        <w:tc>
          <w:tcPr>
            <w:tcW w:w="1188" w:type="dxa"/>
            <w:vMerge w:val="continue"/>
            <w:shd w:val="clear" w:color="auto" w:fill="auto"/>
            <w:noWrap/>
            <w:vAlign w:val="center"/>
          </w:tcPr>
          <w:p>
            <w:pPr>
              <w:rPr>
                <w:rFonts w:hint="eastAsia"/>
              </w:rPr>
            </w:pPr>
          </w:p>
        </w:tc>
        <w:tc>
          <w:tcPr>
            <w:tcW w:w="2012" w:type="dxa"/>
            <w:vMerge w:val="continue"/>
            <w:shd w:val="clear" w:color="auto" w:fill="auto"/>
            <w:noWrap/>
            <w:vAlign w:val="center"/>
          </w:tcPr>
          <w:p>
            <w:pPr>
              <w:jc w:val="center"/>
              <w:rPr>
                <w:rFonts w:hint="eastAsia"/>
              </w:rPr>
            </w:pPr>
          </w:p>
        </w:tc>
        <w:tc>
          <w:tcPr>
            <w:tcW w:w="6550" w:type="dxa"/>
            <w:shd w:val="clear" w:color="auto" w:fill="FCE4D6"/>
            <w:vAlign w:val="center"/>
          </w:tcPr>
          <w:p>
            <w:pPr>
              <w:rPr>
                <w:rFonts w:hint="eastAsia"/>
              </w:rPr>
            </w:pPr>
            <w:r>
              <w:rPr>
                <w:rFonts w:hint="eastAsia"/>
                <w:lang w:val="en-US" w:eastAsia="zh-CN"/>
              </w:rPr>
              <w:t>赎回费：</w:t>
            </w:r>
            <w:r>
              <w:rPr>
                <w:rFonts w:hint="eastAsia"/>
                <w:lang w:val="en-US" w:eastAsia="zh-CN"/>
              </w:rPr>
              <w:br w:type="textWrapping"/>
            </w:r>
            <w:r>
              <w:rPr>
                <w:rFonts w:hint="eastAsia"/>
                <w:lang w:val="en-US" w:eastAsia="zh-CN"/>
              </w:rPr>
              <w:t>股票型、混合型、FOF型、QDII型、另类型、债券型：小于7天,手续费为1.50%;</w:t>
            </w:r>
            <w:r>
              <w:rPr>
                <w:rFonts w:hint="eastAsia"/>
                <w:lang w:val="en-US" w:eastAsia="zh-CN"/>
              </w:rPr>
              <w:br w:type="textWrapping"/>
            </w:r>
            <w:r>
              <w:rPr>
                <w:rFonts w:hint="eastAsia"/>
                <w:lang w:val="en-US" w:eastAsia="zh-CN"/>
              </w:rPr>
              <w:t>大于等于7天且小于30天，手续费为0.75%;</w:t>
            </w:r>
            <w:r>
              <w:rPr>
                <w:rFonts w:hint="eastAsia"/>
                <w:lang w:val="en-US" w:eastAsia="zh-CN"/>
              </w:rPr>
              <w:br w:type="textWrapping"/>
            </w:r>
            <w:r>
              <w:rPr>
                <w:rFonts w:hint="eastAsia"/>
                <w:lang w:val="en-US" w:eastAsia="zh-CN"/>
              </w:rPr>
              <w:t>大于等于30天且小于1年，手续费为0.5%。</w:t>
            </w:r>
            <w:r>
              <w:rPr>
                <w:rFonts w:hint="eastAsia"/>
                <w:lang w:val="en-US" w:eastAsia="zh-CN"/>
              </w:rPr>
              <w:br w:type="textWrapping"/>
            </w:r>
            <w:r>
              <w:rPr>
                <w:rFonts w:hint="eastAsia"/>
                <w:lang w:val="en-US" w:eastAsia="zh-CN"/>
              </w:rPr>
              <w:t>货币类赎回免手续费。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88" w:type="dxa"/>
            <w:vMerge w:val="continue"/>
            <w:shd w:val="clear" w:color="auto" w:fill="auto"/>
            <w:noWrap/>
            <w:vAlign w:val="center"/>
          </w:tcPr>
          <w:p>
            <w:pPr>
              <w:rPr>
                <w:rFonts w:hint="eastAsia"/>
              </w:rPr>
            </w:pPr>
          </w:p>
        </w:tc>
        <w:tc>
          <w:tcPr>
            <w:tcW w:w="2012" w:type="dxa"/>
            <w:shd w:val="clear" w:color="auto" w:fill="auto"/>
            <w:noWrap/>
            <w:vAlign w:val="center"/>
          </w:tcPr>
          <w:p>
            <w:pPr>
              <w:jc w:val="center"/>
              <w:rPr>
                <w:rFonts w:hint="eastAsia"/>
              </w:rPr>
            </w:pPr>
            <w:r>
              <w:rPr>
                <w:rFonts w:hint="eastAsia"/>
                <w:lang w:val="en-US" w:eastAsia="zh-CN"/>
              </w:rPr>
              <w:t>风控限制</w:t>
            </w:r>
          </w:p>
        </w:tc>
        <w:tc>
          <w:tcPr>
            <w:tcW w:w="6550" w:type="dxa"/>
            <w:shd w:val="clear" w:color="auto" w:fill="FCE4D6"/>
            <w:vAlign w:val="center"/>
          </w:tcPr>
          <w:p>
            <w:pPr>
              <w:rPr>
                <w:rFonts w:hint="eastAsia"/>
              </w:rPr>
            </w:pPr>
            <w:r>
              <w:rPr>
                <w:rFonts w:hint="eastAsia"/>
                <w:lang w:val="en-US" w:eastAsia="zh-CN"/>
              </w:rPr>
              <w:t>* 单只标的持仓占比不超过30%</w:t>
            </w:r>
            <w:r>
              <w:rPr>
                <w:rFonts w:hint="eastAsia"/>
                <w:lang w:val="en-US" w:eastAsia="zh-CN"/>
              </w:rPr>
              <w:br w:type="textWrapping"/>
            </w:r>
            <w:r>
              <w:rPr>
                <w:rFonts w:hint="eastAsia"/>
                <w:lang w:val="en-US" w:eastAsia="zh-CN"/>
              </w:rPr>
              <w:t>* 持仓标的数量上限为20只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shd w:val="clear" w:color="auto" w:fill="auto"/>
            <w:noWrap/>
            <w:vAlign w:val="center"/>
          </w:tcPr>
          <w:p>
            <w:pPr>
              <w:rPr>
                <w:rFonts w:hint="eastAsia"/>
              </w:rPr>
            </w:pPr>
          </w:p>
        </w:tc>
        <w:tc>
          <w:tcPr>
            <w:tcW w:w="2012" w:type="dxa"/>
            <w:shd w:val="clear" w:color="auto" w:fill="auto"/>
            <w:noWrap/>
            <w:vAlign w:val="center"/>
          </w:tcPr>
          <w:p>
            <w:pPr>
              <w:jc w:val="center"/>
              <w:rPr>
                <w:rFonts w:hint="eastAsia"/>
              </w:rPr>
            </w:pPr>
            <w:r>
              <w:rPr>
                <w:rFonts w:hint="eastAsia"/>
                <w:lang w:val="en-US" w:eastAsia="zh-CN"/>
              </w:rPr>
              <w:t>风控预警</w:t>
            </w:r>
          </w:p>
        </w:tc>
        <w:tc>
          <w:tcPr>
            <w:tcW w:w="6550" w:type="dxa"/>
            <w:shd w:val="clear" w:color="auto" w:fill="auto"/>
            <w:vAlign w:val="center"/>
          </w:tcPr>
          <w:p>
            <w:pPr>
              <w:rPr>
                <w:rFonts w:hint="eastAsia"/>
              </w:rPr>
            </w:pPr>
            <w:r>
              <w:rPr>
                <w:rFonts w:hint="eastAsia"/>
                <w:lang w:val="en-US" w:eastAsia="zh-CN"/>
              </w:rPr>
              <w:t>* 平均仓位不足65%（&lt;60%无法参与榜单评选）</w:t>
            </w:r>
            <w:r>
              <w:rPr>
                <w:rFonts w:hint="eastAsia"/>
                <w:lang w:val="en-US" w:eastAsia="zh-CN"/>
              </w:rPr>
              <w:br w:type="textWrapping"/>
            </w:r>
            <w:r>
              <w:rPr>
                <w:rFonts w:hint="eastAsia"/>
                <w:lang w:val="en-US" w:eastAsia="zh-CN"/>
              </w:rPr>
              <w:t>* 最大回撤超过10%（&gt;15%则无法参与榜单评选）</w:t>
            </w:r>
          </w:p>
        </w:tc>
      </w:tr>
    </w:tbl>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二、顾问能力评比阶段规则</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（一）本阶段以现场比赛方式进行，分为两个环节：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 现场演示：</w:t>
      </w:r>
      <w:r>
        <w:rPr>
          <w:rFonts w:hint="eastAsia" w:ascii="仿宋_GB2312" w:hAnsi="仿宋_GB2312" w:eastAsia="仿宋_GB2312" w:cs="仿宋_GB2312"/>
          <w:sz w:val="32"/>
          <w:szCs w:val="32"/>
          <w:lang w:val="en-US" w:eastAsia="zh-CN"/>
        </w:rPr>
        <w:t>比赛前5天，参赛人员从模拟客户数据库中抽取一个模拟客户，根据客户年龄、家庭情况、收入水</w:t>
      </w:r>
      <w:r>
        <w:rPr>
          <w:rFonts w:hint="eastAsia" w:ascii="仿宋_GB2312" w:hAnsi="仿宋_GB2312" w:eastAsia="仿宋_GB2312" w:cs="仿宋_GB2312"/>
          <w:sz w:val="32"/>
          <w:szCs w:val="32"/>
          <w:highlight w:val="none"/>
          <w:lang w:val="en-US" w:eastAsia="zh-CN"/>
        </w:rPr>
        <w:t>平、风险偏好、投资需求等信息准备PPT，比赛当天现场演示该模拟客户的中长期资产配置方案，包括投资方向、投资策略、产品组合、选品思路等，演示时间不超过10分钟。</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 互动问答：</w:t>
      </w:r>
      <w:r>
        <w:rPr>
          <w:rFonts w:hint="eastAsia" w:ascii="仿宋_GB2312" w:hAnsi="仿宋_GB2312" w:eastAsia="仿宋_GB2312" w:cs="仿宋_GB2312"/>
          <w:sz w:val="32"/>
          <w:szCs w:val="32"/>
          <w:highlight w:val="none"/>
          <w:lang w:val="en-US" w:eastAsia="zh-CN"/>
        </w:rPr>
        <w:t>评委对参赛人员的演示内容进行提问，参赛人员在限定时间内作答</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（二）评委根据参赛人员的现场演示和问答情况进行评分，评价指标在抽取模拟客户时公布。</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（三）协会将邀请广东省总工会领导、</w:t>
      </w:r>
      <w:r>
        <w:rPr>
          <w:rFonts w:hint="eastAsia" w:ascii="仿宋_GB2312" w:hAnsi="仿宋_GB2312" w:eastAsia="仿宋_GB2312" w:cs="仿宋_GB2312"/>
          <w:sz w:val="32"/>
          <w:szCs w:val="32"/>
          <w:highlight w:val="none"/>
          <w:u w:val="none"/>
          <w:lang w:val="en-US" w:eastAsia="zh-CN"/>
        </w:rPr>
        <w:t>省财贸工会领导</w:t>
      </w:r>
      <w:r>
        <w:rPr>
          <w:rFonts w:hint="eastAsia" w:ascii="仿宋_GB2312" w:hAnsi="仿宋_GB2312" w:eastAsia="仿宋_GB2312" w:cs="仿宋_GB2312"/>
          <w:sz w:val="32"/>
          <w:szCs w:val="32"/>
          <w:highlight w:val="none"/>
          <w:lang w:val="en-US" w:eastAsia="zh-CN"/>
        </w:rPr>
        <w:t>、公私募投研总监、第三方财富管理机构投顾业务负责人等专家和客户代表，共同组建比赛评审委员会。</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三、比赛排名规则</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（一）比赛前20名按照比赛得分高低排名：</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1.比赛得分=投资能力评比阶段得分*60%+顾问能力评比阶段得分*40%；</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trike w:val="0"/>
          <w:dstrike w:val="0"/>
          <w:sz w:val="32"/>
          <w:szCs w:val="32"/>
          <w:lang w:val="en-US" w:eastAsia="zh-CN"/>
        </w:rPr>
        <w:t>投资能力评比阶段，对累计收益率排名前20的参赛人员按以下方法在90-100分之间按比例计分，计算方法为：投资能力评比阶段得分=90+10*（参赛人员累计收益率-20人中累计收益率最低值）/（20人中累计收益率最高值-20人中累计收益率最低值）。累计收益率=场内ETF组收益率X50%+公募基金组收益率X50%，由比赛系统自动计算；</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3.顾问能力评比阶段得分=评委评分。每位评委分值100分，评委评分=（评委总分-1个最高分-1个最低分）/（评委人数-2）；</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4.若比赛得分相同，按照投资能力评比阶段得分排名。</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（二）比赛第21-50名按照投资能力评比阶段累计收益率排名。</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（三）参赛人员不服从比赛安排、不符合参赛条件或未按协会要求参赛，协会有权取消其比赛资格和成绩，并按投资能力评比阶段累计收益率排名由候补参赛人员补上参加顾问能力评比阶段赛事或颁发奖项奖金。</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注：比赛规则</w:t>
      </w:r>
      <w:bookmarkStart w:id="0" w:name="_GoBack"/>
      <w:bookmarkEnd w:id="0"/>
      <w:r>
        <w:rPr>
          <w:rFonts w:hint="eastAsia" w:ascii="仿宋_GB2312" w:hAnsi="仿宋_GB2312" w:eastAsia="仿宋_GB2312" w:cs="仿宋_GB2312"/>
          <w:sz w:val="32"/>
          <w:szCs w:val="32"/>
          <w:lang w:val="en-US" w:eastAsia="zh-CN"/>
        </w:rPr>
        <w:t>以朝阳永续平台中的规则表述为准</w:t>
      </w:r>
    </w:p>
    <w:sectPr>
      <w:footerReference r:id="rId3" w:type="default"/>
      <w:pgSz w:w="11906" w:h="16838"/>
      <w:pgMar w:top="2098"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OTJkODlkODI0YWU0ZDU0ZWQ2NWZkNzY4N2JkMWUifQ=="/>
  </w:docVars>
  <w:rsids>
    <w:rsidRoot w:val="2BF9772D"/>
    <w:rsid w:val="05BD5298"/>
    <w:rsid w:val="24BF3AC8"/>
    <w:rsid w:val="2BF9772D"/>
    <w:rsid w:val="2D5932C0"/>
    <w:rsid w:val="72BE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1685</Words>
  <Characters>1848</Characters>
  <Lines>0</Lines>
  <Paragraphs>0</Paragraphs>
  <TotalTime>6</TotalTime>
  <ScaleCrop>false</ScaleCrop>
  <LinksUpToDate>false</LinksUpToDate>
  <CharactersWithSpaces>1861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2023-05-30T01:27:00Z</dcterms:created>
  <dc:creator>嘉文！</dc:creator>
  <cp:lastModifiedBy>知足常乐</cp:lastModifiedBy>
  <dcterms:modified xsi:type="dcterms:W3CDTF">2023-06-12T10:09:27Z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C052E6B98F3D45A8ABCB03EFEDBA1C05_13</vt:lpwstr>
  </property>
</Properties>
</file>