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广东证券期货业协会</w:t>
      </w:r>
      <w:r>
        <w:rPr>
          <w:rFonts w:hint="eastAsia" w:ascii="方正小标宋简体" w:hAnsi="黑体" w:eastAsia="方正小标宋简体" w:cs="黑体"/>
          <w:sz w:val="44"/>
          <w:szCs w:val="44"/>
          <w:lang w:val="en-US" w:eastAsia="zh-CN"/>
        </w:rPr>
        <w:t>2023年工作</w:t>
      </w:r>
      <w:r>
        <w:rPr>
          <w:rFonts w:hint="eastAsia" w:ascii="方正小标宋简体" w:hAnsi="黑体" w:eastAsia="方正小标宋简体" w:cs="黑体"/>
          <w:sz w:val="44"/>
          <w:szCs w:val="44"/>
        </w:rPr>
        <w:t>报告</w:t>
      </w:r>
    </w:p>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（经第七届理事会第十五次会议审议通过）</w:t>
      </w: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各理事会成员：</w:t>
      </w: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下午好，我现在代表协会秘书处向会议作工作报告，请予以审议。</w:t>
      </w: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一、2023年工作回顾</w:t>
      </w: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2023年，协会在广东证监局的指导下，依靠广大会员支持，联合社会多方力量，在秘书处全体同志的共同努力下，圆满完成了理事会年初制定的工作计划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各方面工作取得了有效进展</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立足服务职能，努力打开辖区证券期货行业</w:t>
      </w:r>
      <w:r>
        <w:rPr>
          <w:rFonts w:hint="eastAsia" w:ascii="楷体" w:hAnsi="楷体" w:eastAsia="楷体" w:cs="楷体"/>
          <w:b/>
          <w:bCs/>
          <w:sz w:val="32"/>
          <w:szCs w:val="32"/>
        </w:rPr>
        <w:t>高质量发展</w:t>
      </w:r>
      <w:r>
        <w:rPr>
          <w:rFonts w:hint="eastAsia" w:ascii="楷体" w:hAnsi="楷体" w:eastAsia="楷体" w:cs="楷体"/>
          <w:b/>
          <w:bCs/>
          <w:sz w:val="32"/>
          <w:szCs w:val="32"/>
          <w:lang w:val="en-US" w:eastAsia="zh-CN"/>
        </w:rPr>
        <w:t>局面</w:t>
      </w:r>
      <w:r>
        <w:rPr>
          <w:rFonts w:hint="eastAsia" w:ascii="楷体" w:hAnsi="楷体" w:eastAsia="楷体" w:cs="楷体"/>
          <w:b/>
          <w:bCs/>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1587" w:gutter="0"/>
          <w:pgNumType w:fmt="numberInDash"/>
          <w:cols w:space="0" w:num="1"/>
          <w:rtlGutter w:val="0"/>
          <w:docGrid w:type="lines" w:linePitch="312" w:charSpace="0"/>
        </w:sectPr>
      </w:pPr>
      <w:r>
        <w:rPr>
          <w:rFonts w:hint="eastAsia" w:ascii="楷体" w:hAnsi="楷体" w:eastAsia="楷体" w:cs="楷体"/>
          <w:b/>
          <w:bCs/>
          <w:sz w:val="32"/>
          <w:szCs w:val="32"/>
          <w:lang w:val="en-US" w:eastAsia="zh-CN"/>
        </w:rPr>
        <w:t>一是</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开展证券公司差异化发展</w:t>
      </w:r>
      <w:r>
        <w:rPr>
          <w:rFonts w:hint="eastAsia" w:ascii="仿宋_GB2312" w:hAnsi="仿宋_GB2312" w:eastAsia="仿宋_GB2312" w:cs="仿宋_GB2312"/>
          <w:sz w:val="32"/>
          <w:szCs w:val="32"/>
        </w:rPr>
        <w:t>深度调研，</w:t>
      </w:r>
      <w:r>
        <w:rPr>
          <w:rFonts w:hint="eastAsia" w:ascii="仿宋_GB2312" w:hAnsi="仿宋_GB2312" w:eastAsia="仿宋_GB2312" w:cs="仿宋_GB2312"/>
          <w:sz w:val="32"/>
          <w:szCs w:val="32"/>
          <w:lang w:val="en-US" w:eastAsia="zh-CN"/>
        </w:rPr>
        <w:t>引导</w:t>
      </w:r>
      <w:r>
        <w:rPr>
          <w:rFonts w:hint="eastAsia" w:ascii="仿宋_GB2312" w:hAnsi="仿宋_GB2312" w:eastAsia="仿宋_GB2312" w:cs="仿宋_GB2312"/>
          <w:sz w:val="32"/>
          <w:szCs w:val="32"/>
        </w:rPr>
        <w:t>会员</w:t>
      </w:r>
      <w:r>
        <w:rPr>
          <w:rFonts w:hint="eastAsia" w:ascii="仿宋_GB2312" w:hAnsi="仿宋_GB2312" w:eastAsia="仿宋_GB2312" w:cs="仿宋_GB2312"/>
          <w:sz w:val="32"/>
          <w:szCs w:val="32"/>
          <w:lang w:val="en-US" w:eastAsia="zh-CN"/>
        </w:rPr>
        <w:t>探索高质量发展路径</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一方面，</w:t>
      </w:r>
      <w:r>
        <w:rPr>
          <w:rFonts w:hint="eastAsia" w:ascii="仿宋_GB2312" w:hAnsi="仿宋_GB2312" w:eastAsia="仿宋_GB2312" w:cs="仿宋_GB2312"/>
          <w:sz w:val="32"/>
          <w:szCs w:val="32"/>
          <w:lang w:val="en-US" w:eastAsia="zh-CN"/>
        </w:rPr>
        <w:t>协会领导分别带队对辖区4家法人券商的经营发展情况进行深入调研，充分了解会员在差异化发展方面的战略思路、具体实践与困境难点，沟通整理会员对辖区外优秀同行的学习交流需求。</w:t>
      </w:r>
      <w:r>
        <w:rPr>
          <w:rFonts w:hint="eastAsia" w:ascii="仿宋_GB2312" w:hAnsi="仿宋_GB2312" w:eastAsia="仿宋_GB2312" w:cs="仿宋_GB2312"/>
          <w:b/>
          <w:bCs/>
          <w:sz w:val="32"/>
          <w:szCs w:val="32"/>
          <w:lang w:val="en-US" w:eastAsia="zh-CN"/>
        </w:rPr>
        <w:t>另一方面，</w:t>
      </w:r>
      <w:r>
        <w:rPr>
          <w:rFonts w:hint="eastAsia" w:ascii="仿宋_GB2312" w:hAnsi="仿宋_GB2312" w:eastAsia="仿宋_GB2312" w:cs="仿宋_GB2312"/>
          <w:sz w:val="32"/>
          <w:szCs w:val="32"/>
          <w:lang w:val="en-US" w:eastAsia="zh-CN"/>
        </w:rPr>
        <w:t>在多方协调的基础上，</w:t>
      </w:r>
      <w:r>
        <w:rPr>
          <w:rFonts w:hint="eastAsia" w:ascii="仿宋_GB2312" w:hAnsi="仿宋_GB2312" w:eastAsia="仿宋_GB2312" w:cs="仿宋_GB2312"/>
          <w:sz w:val="32"/>
          <w:szCs w:val="32"/>
        </w:rPr>
        <w:t>带领辖区4家证券公司</w:t>
      </w:r>
      <w:r>
        <w:rPr>
          <w:rFonts w:hint="eastAsia" w:ascii="仿宋_GB2312" w:hAnsi="仿宋_GB2312" w:eastAsia="仿宋_GB2312" w:cs="仿宋_GB2312"/>
          <w:sz w:val="32"/>
          <w:szCs w:val="32"/>
          <w:lang w:val="en-US" w:eastAsia="zh-CN"/>
        </w:rPr>
        <w:t>的大股东、</w:t>
      </w:r>
      <w:r>
        <w:rPr>
          <w:rFonts w:hint="eastAsia" w:ascii="仿宋_GB2312" w:hAnsi="仿宋_GB2312" w:eastAsia="仿宋_GB2312" w:cs="仿宋_GB2312"/>
          <w:sz w:val="32"/>
          <w:szCs w:val="32"/>
        </w:rPr>
        <w:t>高管及相关负责人赴四川、上海、江苏、浙江和深圳等地</w:t>
      </w:r>
      <w:r>
        <w:rPr>
          <w:rFonts w:hint="eastAsia" w:ascii="仿宋_GB2312" w:hAnsi="仿宋_GB2312" w:eastAsia="仿宋_GB2312" w:cs="仿宋_GB2312"/>
          <w:sz w:val="32"/>
          <w:szCs w:val="32"/>
          <w:lang w:val="en-US" w:eastAsia="zh-CN"/>
        </w:rPr>
        <w:t>证券公司总部</w:t>
      </w:r>
      <w:r>
        <w:rPr>
          <w:rFonts w:hint="eastAsia" w:ascii="仿宋_GB2312" w:hAnsi="仿宋_GB2312" w:eastAsia="仿宋_GB2312" w:cs="仿宋_GB2312"/>
          <w:sz w:val="32"/>
          <w:szCs w:val="32"/>
        </w:rPr>
        <w:t>开展业务调研与交流，</w:t>
      </w:r>
      <w:r>
        <w:rPr>
          <w:rFonts w:hint="eastAsia" w:ascii="仿宋_GB2312" w:hAnsi="仿宋_GB2312" w:eastAsia="仿宋_GB2312" w:cs="仿宋_GB2312"/>
          <w:sz w:val="32"/>
          <w:szCs w:val="32"/>
          <w:lang w:val="en-US" w:eastAsia="zh-CN"/>
        </w:rPr>
        <w:t>深入</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华西证券、国金证券、国泰君安证券、东方证券、国联证券、华泰证券、财通证券、招商证券和国信证券等优秀券商在优化公司治理、股东资源利用、人才引进与培养、培育核心业务竞争力等方面的成功经验，为会员结合自身资源禀赋寻找</w:t>
      </w:r>
      <w:r>
        <w:rPr>
          <w:rFonts w:hint="eastAsia" w:ascii="仿宋_GB2312" w:hAnsi="仿宋_GB2312" w:eastAsia="仿宋_GB2312" w:cs="仿宋_GB2312"/>
          <w:sz w:val="32"/>
          <w:szCs w:val="32"/>
        </w:rPr>
        <w:t>差异化发展</w:t>
      </w:r>
      <w:r>
        <w:rPr>
          <w:rFonts w:hint="eastAsia" w:ascii="仿宋_GB2312" w:hAnsi="仿宋_GB2312" w:eastAsia="仿宋_GB2312" w:cs="仿宋_GB2312"/>
          <w:sz w:val="32"/>
          <w:szCs w:val="32"/>
          <w:lang w:val="en-US" w:eastAsia="zh-CN"/>
        </w:rPr>
        <w:t>道路提供了思路借鉴</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ascii="仿宋_GB2312" w:hAnsi="仿宋_GB2312" w:eastAsia="仿宋_GB2312" w:cs="仿宋_GB2312"/>
          <w:sz w:val="32"/>
          <w:szCs w:val="32"/>
        </w:rPr>
      </w:pPr>
      <w:r>
        <w:rPr>
          <w:rFonts w:hint="eastAsia" w:ascii="仿宋_GB2312" w:hAnsi="宋体" w:eastAsia="仿宋_GB2312" w:cs="仿宋_GB2312"/>
          <w:b/>
          <w:bCs/>
          <w:i w:val="0"/>
          <w:iCs w:val="0"/>
          <w:caps w:val="0"/>
          <w:color w:val="333333"/>
          <w:spacing w:val="0"/>
          <w:sz w:val="32"/>
          <w:szCs w:val="32"/>
          <w:shd w:val="clear" w:fill="FFFFFF"/>
          <w:lang w:val="en-US" w:eastAsia="zh-CN"/>
        </w:rPr>
        <w:t>二是</w:t>
      </w:r>
      <w:r>
        <w:rPr>
          <w:rFonts w:hint="eastAsia" w:ascii="仿宋_GB2312" w:hAnsi="宋体" w:eastAsia="仿宋_GB2312" w:cs="仿宋_GB2312"/>
          <w:i w:val="0"/>
          <w:iCs w:val="0"/>
          <w:caps w:val="0"/>
          <w:color w:val="333333"/>
          <w:spacing w:val="0"/>
          <w:sz w:val="32"/>
          <w:szCs w:val="32"/>
          <w:shd w:val="clear" w:fill="FFFFFF"/>
          <w:lang w:val="en-US" w:eastAsia="zh-CN"/>
        </w:rPr>
        <w:t>积极推动证券行业财富管理生态建设，</w:t>
      </w:r>
      <w:r>
        <w:rPr>
          <w:rFonts w:hint="eastAsia" w:ascii="仿宋_GB2312" w:hAnsi="宋体" w:eastAsia="仿宋_GB2312" w:cs="仿宋_GB2312"/>
          <w:i w:val="0"/>
          <w:iCs w:val="0"/>
          <w:caps w:val="0"/>
          <w:color w:val="333333"/>
          <w:spacing w:val="0"/>
          <w:sz w:val="32"/>
          <w:szCs w:val="32"/>
          <w:shd w:val="clear" w:fill="FFFFFF"/>
        </w:rPr>
        <w:t>引导和支持会员抓住财富管理转型机遇期。</w:t>
      </w:r>
      <w:r>
        <w:rPr>
          <w:rFonts w:hint="eastAsia" w:ascii="仿宋_GB2312" w:hAnsi="仿宋_GB2312" w:eastAsia="仿宋_GB2312" w:cs="仿宋_GB2312"/>
          <w:sz w:val="32"/>
          <w:szCs w:val="32"/>
        </w:rPr>
        <w:t>参</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设立广州投资顾问研究院，</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投顾行业培养和培训人才提供专业、系统的教育和研究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着力推进</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投顾业态发展。</w:t>
      </w:r>
      <w:r>
        <w:rPr>
          <w:rFonts w:hint="eastAsia" w:ascii="仿宋_GB2312" w:hAnsi="仿宋_GB2312" w:eastAsia="仿宋_GB2312" w:cs="仿宋_GB2312"/>
          <w:color w:val="000000"/>
          <w:kern w:val="0"/>
          <w:sz w:val="32"/>
          <w:szCs w:val="32"/>
        </w:rPr>
        <w:t>联合</w:t>
      </w:r>
      <w:r>
        <w:rPr>
          <w:rFonts w:ascii="仿宋_GB2312" w:hAnsi="仿宋_GB2312" w:eastAsia="仿宋_GB2312" w:cs="仿宋_GB2312"/>
          <w:sz w:val="32"/>
          <w:szCs w:val="32"/>
        </w:rPr>
        <w:t>广东省财贸工会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ascii="仿宋_GB2312" w:hAnsi="仿宋_GB2312" w:eastAsia="仿宋_GB2312" w:cs="仿宋_GB2312"/>
          <w:sz w:val="32"/>
          <w:szCs w:val="32"/>
        </w:rPr>
        <w:t>广发证券股份有限公司工会委员会</w:t>
      </w:r>
      <w:r>
        <w:rPr>
          <w:rFonts w:hint="eastAsia" w:ascii="仿宋_GB2312" w:hAnsi="仿宋_GB2312" w:eastAsia="仿宋_GB2312" w:cs="仿宋_GB2312"/>
          <w:sz w:val="32"/>
          <w:szCs w:val="32"/>
          <w:lang w:val="en-US" w:eastAsia="zh-CN"/>
        </w:rPr>
        <w:t>的支持下，</w:t>
      </w:r>
      <w:r>
        <w:rPr>
          <w:rFonts w:hint="eastAsia" w:ascii="仿宋_GB2312" w:hAnsi="仿宋_GB2312" w:eastAsia="仿宋_GB2312" w:cs="仿宋_GB2312"/>
          <w:sz w:val="32"/>
          <w:szCs w:val="32"/>
        </w:rPr>
        <w:t>举办</w:t>
      </w:r>
      <w:r>
        <w:rPr>
          <w:rFonts w:hint="eastAsia" w:ascii="仿宋_GB2312" w:hAnsi="仿宋_GB2312" w:eastAsia="仿宋_GB2312" w:cs="仿宋_GB2312"/>
          <w:color w:val="000000"/>
          <w:kern w:val="0"/>
          <w:sz w:val="32"/>
          <w:szCs w:val="32"/>
        </w:rPr>
        <w:t>逾6000名从业人员</w:t>
      </w:r>
      <w:r>
        <w:rPr>
          <w:rFonts w:hint="eastAsia" w:ascii="仿宋_GB2312" w:hAnsi="仿宋_GB2312" w:eastAsia="仿宋_GB2312" w:cs="仿宋_GB2312"/>
          <w:color w:val="000000"/>
          <w:kern w:val="0"/>
          <w:sz w:val="32"/>
          <w:szCs w:val="32"/>
          <w:lang w:val="en-US" w:eastAsia="zh-CN"/>
        </w:rPr>
        <w:t>参与的</w:t>
      </w:r>
      <w:r>
        <w:rPr>
          <w:rFonts w:hint="eastAsia" w:ascii="仿宋_GB2312" w:hAnsi="仿宋_GB2312" w:eastAsia="仿宋_GB2312" w:cs="仿宋_GB2312"/>
          <w:sz w:val="32"/>
          <w:szCs w:val="32"/>
        </w:rPr>
        <w:t>广东证券行业</w:t>
      </w:r>
      <w:r>
        <w:rPr>
          <w:rFonts w:hint="eastAsia" w:ascii="仿宋_GB2312" w:hAnsi="仿宋_GB2312" w:eastAsia="仿宋_GB2312" w:cs="仿宋_GB2312"/>
          <w:color w:val="000000"/>
          <w:kern w:val="0"/>
          <w:sz w:val="32"/>
          <w:szCs w:val="32"/>
        </w:rPr>
        <w:t>投资顾问职业技能大赛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在辖区营造了浓厚的投顾业务发展氛围</w:t>
      </w:r>
      <w:r>
        <w:rPr>
          <w:rFonts w:hint="eastAsia" w:ascii="仿宋_GB2312" w:hAnsi="仿宋_GB2312" w:eastAsia="仿宋_GB2312" w:cs="仿宋_GB2312"/>
          <w:sz w:val="32"/>
          <w:szCs w:val="32"/>
        </w:rPr>
        <w:t>。举办基金投顾业务交流分享会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邀请国联证券和珠海盈米基金介绍国内外投顾业务的发展现状、分享基金投顾展业经验。联合</w:t>
      </w:r>
      <w:r>
        <w:rPr>
          <w:rFonts w:hint="eastAsia" w:ascii="仿宋_GB2312" w:hAnsi="仿宋_GB2312" w:eastAsia="仿宋_GB2312" w:cs="仿宋_GB2312"/>
          <w:sz w:val="32"/>
          <w:szCs w:val="32"/>
          <w:lang w:val="en-US" w:eastAsia="zh-CN"/>
        </w:rPr>
        <w:t>中国证券业协会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w:t>
      </w:r>
      <w:r>
        <w:rPr>
          <w:rFonts w:hint="eastAsia" w:ascii="仿宋_GB2312" w:hAnsi="仿宋_GB2312" w:eastAsia="仿宋_GB2312" w:cs="仿宋_GB2312"/>
          <w:sz w:val="32"/>
          <w:szCs w:val="32"/>
        </w:rPr>
        <w:t>中证协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举办两期财富管理专题培训班，围绕证券营业部财富管理转型实践和投资顾问业务创新与能力提升的路径等进行分享。</w:t>
      </w:r>
      <w:r>
        <w:rPr>
          <w:rFonts w:hint="eastAsia" w:ascii="仿宋_GB2312" w:hAnsi="仿宋_GB2312" w:eastAsia="仿宋_GB2312" w:cs="仿宋_GB2312"/>
          <w:sz w:val="32"/>
          <w:szCs w:val="32"/>
          <w:lang w:val="en-US" w:eastAsia="zh-CN"/>
        </w:rPr>
        <w:t>建立并逐步完善</w:t>
      </w:r>
      <w:r>
        <w:rPr>
          <w:rFonts w:hint="eastAsia" w:ascii="仿宋_GB2312" w:hAnsi="仿宋_GB2312" w:eastAsia="仿宋_GB2312" w:cs="仿宋_GB2312"/>
          <w:sz w:val="32"/>
          <w:szCs w:val="32"/>
        </w:rPr>
        <w:t>辖区投顾业务常态化交流平台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举办三期投顾沙龙活动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邀请广发证券、国信证券广州分公司、华泰证券广东分公司和中金财富证券广州珠江新城营业部投顾专业人员分享投顾转型与发展实践经验</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宋体"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lang w:val="en-US" w:eastAsia="zh-CN"/>
        </w:rPr>
        <w:t>多措并举推动</w:t>
      </w:r>
      <w:r>
        <w:rPr>
          <w:rFonts w:hint="eastAsia" w:ascii="仿宋_GB2312" w:hAnsi="仿宋_GB2312" w:eastAsia="仿宋_GB2312" w:cs="仿宋_GB2312"/>
          <w:sz w:val="32"/>
          <w:szCs w:val="32"/>
        </w:rPr>
        <w:t>期货经营机构</w:t>
      </w:r>
      <w:r>
        <w:rPr>
          <w:rFonts w:hint="eastAsia" w:ascii="仿宋_GB2312" w:hAnsi="仿宋_GB2312" w:eastAsia="仿宋_GB2312" w:cs="仿宋_GB2312"/>
          <w:sz w:val="32"/>
          <w:szCs w:val="32"/>
          <w:lang w:val="en-US" w:eastAsia="zh-CN"/>
        </w:rPr>
        <w:t>高质量发展。组织开展高质量发展调研交流，带领</w:t>
      </w:r>
      <w:r>
        <w:rPr>
          <w:rFonts w:ascii="仿宋_GB2312" w:hAnsi="宋体" w:eastAsia="仿宋_GB2312" w:cs="仿宋_GB2312"/>
          <w:i w:val="0"/>
          <w:iCs w:val="0"/>
          <w:caps w:val="0"/>
          <w:color w:val="333333"/>
          <w:spacing w:val="0"/>
          <w:sz w:val="32"/>
          <w:szCs w:val="32"/>
          <w:shd w:val="clear" w:fill="FFFFFF"/>
        </w:rPr>
        <w:t>辖区期货经营机构</w:t>
      </w:r>
      <w:r>
        <w:rPr>
          <w:rFonts w:hint="default" w:ascii="仿宋_GB2312" w:hAnsi="宋体" w:eastAsia="仿宋_GB2312" w:cs="仿宋_GB2312"/>
          <w:i w:val="0"/>
          <w:iCs w:val="0"/>
          <w:caps w:val="0"/>
          <w:color w:val="333333"/>
          <w:spacing w:val="0"/>
          <w:sz w:val="32"/>
          <w:szCs w:val="32"/>
          <w:shd w:val="clear" w:fill="FFFFFF"/>
        </w:rPr>
        <w:t>会员相关负责人</w:t>
      </w:r>
      <w:r>
        <w:rPr>
          <w:rFonts w:hint="eastAsia" w:ascii="仿宋_GB2312" w:hAnsi="仿宋_GB2312" w:eastAsia="仿宋_GB2312" w:cs="仿宋_GB2312"/>
          <w:sz w:val="32"/>
          <w:szCs w:val="32"/>
        </w:rPr>
        <w:t>赴广州期货交易所、上海期货交易所和中国金融期货交易所，以及浙江、上海地区</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rPr>
        <w:t>期货</w:t>
      </w:r>
      <w:r>
        <w:rPr>
          <w:rFonts w:hint="eastAsia" w:ascii="仿宋_GB2312" w:hAnsi="仿宋_GB2312" w:eastAsia="仿宋_GB2312" w:cs="仿宋_GB2312"/>
          <w:sz w:val="32"/>
          <w:szCs w:val="32"/>
          <w:lang w:val="en-US" w:eastAsia="zh-CN"/>
        </w:rPr>
        <w:t>同行</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深入探讨与期货交易所在</w:t>
      </w:r>
      <w:r>
        <w:rPr>
          <w:rFonts w:hint="eastAsia" w:ascii="仿宋_GB2312" w:hAnsi="仿宋_GB2312" w:eastAsia="仿宋_GB2312" w:cs="仿宋_GB2312"/>
          <w:sz w:val="32"/>
          <w:szCs w:val="32"/>
          <w:lang w:eastAsia="zh-CN"/>
        </w:rPr>
        <w:t>人才培养、相关期货品种</w:t>
      </w:r>
      <w:r>
        <w:rPr>
          <w:rFonts w:hint="eastAsia" w:ascii="仿宋_GB2312" w:hAnsi="仿宋_GB2312" w:eastAsia="仿宋_GB2312" w:cs="仿宋_GB2312"/>
          <w:sz w:val="32"/>
          <w:szCs w:val="32"/>
          <w:lang w:val="en-US" w:eastAsia="zh-CN"/>
        </w:rPr>
        <w:t>上市规划与</w:t>
      </w:r>
      <w:r>
        <w:rPr>
          <w:rFonts w:hint="eastAsia" w:ascii="仿宋_GB2312" w:hAnsi="仿宋_GB2312" w:eastAsia="仿宋_GB2312" w:cs="仿宋_GB2312"/>
          <w:sz w:val="32"/>
          <w:szCs w:val="32"/>
          <w:lang w:eastAsia="zh-CN"/>
        </w:rPr>
        <w:t>市场培育、</w:t>
      </w:r>
      <w:r>
        <w:rPr>
          <w:rFonts w:ascii="仿宋_GB2312" w:hAnsi="宋体" w:eastAsia="仿宋_GB2312" w:cs="仿宋_GB2312"/>
          <w:i w:val="0"/>
          <w:iCs w:val="0"/>
          <w:caps w:val="0"/>
          <w:color w:val="333333"/>
          <w:spacing w:val="0"/>
          <w:sz w:val="32"/>
          <w:szCs w:val="32"/>
          <w:shd w:val="clear" w:fill="FFFFFF"/>
        </w:rPr>
        <w:t>产业客户</w:t>
      </w:r>
      <w:r>
        <w:rPr>
          <w:rFonts w:hint="eastAsia" w:ascii="仿宋_GB2312" w:hAnsi="宋体" w:eastAsia="仿宋_GB2312" w:cs="仿宋_GB2312"/>
          <w:i w:val="0"/>
          <w:iCs w:val="0"/>
          <w:caps w:val="0"/>
          <w:color w:val="333333"/>
          <w:spacing w:val="0"/>
          <w:sz w:val="32"/>
          <w:szCs w:val="32"/>
          <w:shd w:val="clear" w:fill="FFFFFF"/>
          <w:lang w:val="en-US" w:eastAsia="zh-CN"/>
        </w:rPr>
        <w:t>与</w:t>
      </w:r>
      <w:r>
        <w:rPr>
          <w:rFonts w:ascii="仿宋_GB2312" w:hAnsi="宋体" w:eastAsia="仿宋_GB2312" w:cs="仿宋_GB2312"/>
          <w:i w:val="0"/>
          <w:iCs w:val="0"/>
          <w:caps w:val="0"/>
          <w:color w:val="333333"/>
          <w:spacing w:val="0"/>
          <w:sz w:val="32"/>
          <w:szCs w:val="32"/>
          <w:shd w:val="clear" w:fill="FFFFFF"/>
        </w:rPr>
        <w:t>机构客户开发</w:t>
      </w:r>
      <w:r>
        <w:rPr>
          <w:rFonts w:hint="eastAsia" w:ascii="仿宋_GB2312" w:hAnsi="宋体" w:eastAsia="仿宋_GB2312" w:cs="仿宋_GB2312"/>
          <w:i w:val="0"/>
          <w:iCs w:val="0"/>
          <w:caps w:val="0"/>
          <w:color w:val="333333"/>
          <w:spacing w:val="0"/>
          <w:sz w:val="32"/>
          <w:szCs w:val="32"/>
          <w:shd w:val="clear" w:fill="FFFFFF"/>
          <w:lang w:val="en-US" w:eastAsia="zh-CN"/>
        </w:rPr>
        <w:t>等方面的合作；积极促进与期货同业在</w:t>
      </w:r>
      <w:r>
        <w:rPr>
          <w:rFonts w:ascii="仿宋_GB2312" w:hAnsi="宋体" w:eastAsia="仿宋_GB2312" w:cs="仿宋_GB2312"/>
          <w:i w:val="0"/>
          <w:iCs w:val="0"/>
          <w:caps w:val="0"/>
          <w:color w:val="333333"/>
          <w:spacing w:val="0"/>
          <w:sz w:val="32"/>
          <w:szCs w:val="32"/>
          <w:shd w:val="clear" w:fill="FFFFFF"/>
        </w:rPr>
        <w:t>组织</w:t>
      </w:r>
      <w:r>
        <w:rPr>
          <w:rFonts w:hint="eastAsia" w:ascii="仿宋_GB2312" w:hAnsi="宋体" w:eastAsia="仿宋_GB2312" w:cs="仿宋_GB2312"/>
          <w:i w:val="0"/>
          <w:iCs w:val="0"/>
          <w:caps w:val="0"/>
          <w:color w:val="333333"/>
          <w:spacing w:val="0"/>
          <w:sz w:val="32"/>
          <w:szCs w:val="32"/>
          <w:shd w:val="clear" w:fill="FFFFFF"/>
          <w:lang w:val="en-US" w:eastAsia="zh-CN"/>
        </w:rPr>
        <w:t>结构管理与数字化转型</w:t>
      </w:r>
      <w:r>
        <w:rPr>
          <w:rFonts w:ascii="仿宋_GB2312" w:hAnsi="宋体" w:eastAsia="仿宋_GB2312" w:cs="仿宋_GB2312"/>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lang w:val="en-US" w:eastAsia="zh-CN"/>
        </w:rPr>
        <w:t>人才团队建设、“保险+期货”、</w:t>
      </w:r>
      <w:r>
        <w:rPr>
          <w:rFonts w:ascii="仿宋_GB2312" w:hAnsi="宋体" w:eastAsia="仿宋_GB2312" w:cs="仿宋_GB2312"/>
          <w:i w:val="0"/>
          <w:iCs w:val="0"/>
          <w:caps w:val="0"/>
          <w:color w:val="333333"/>
          <w:spacing w:val="0"/>
          <w:sz w:val="32"/>
          <w:szCs w:val="32"/>
          <w:shd w:val="clear" w:fill="FFFFFF"/>
        </w:rPr>
        <w:t>文化建设等</w:t>
      </w:r>
      <w:r>
        <w:rPr>
          <w:rFonts w:hint="eastAsia" w:ascii="仿宋_GB2312" w:hAnsi="宋体" w:eastAsia="仿宋_GB2312" w:cs="仿宋_GB2312"/>
          <w:i w:val="0"/>
          <w:iCs w:val="0"/>
          <w:caps w:val="0"/>
          <w:color w:val="333333"/>
          <w:spacing w:val="0"/>
          <w:sz w:val="32"/>
          <w:szCs w:val="32"/>
          <w:shd w:val="clear" w:fill="FFFFFF"/>
          <w:lang w:val="en-US" w:eastAsia="zh-CN"/>
        </w:rPr>
        <w:t>方面的</w:t>
      </w:r>
      <w:r>
        <w:rPr>
          <w:rFonts w:ascii="仿宋_GB2312" w:hAnsi="宋体" w:eastAsia="仿宋_GB2312" w:cs="仿宋_GB2312"/>
          <w:i w:val="0"/>
          <w:iCs w:val="0"/>
          <w:caps w:val="0"/>
          <w:color w:val="333333"/>
          <w:spacing w:val="0"/>
          <w:sz w:val="32"/>
          <w:szCs w:val="32"/>
          <w:shd w:val="clear" w:fill="FFFFFF"/>
        </w:rPr>
        <w:t>沟通交流</w:t>
      </w:r>
      <w:r>
        <w:rPr>
          <w:rFonts w:hint="eastAsia" w:ascii="仿宋_GB2312" w:hAnsi="宋体" w:eastAsia="仿宋_GB2312" w:cs="仿宋_GB2312"/>
          <w:i w:val="0"/>
          <w:iCs w:val="0"/>
          <w:caps w:val="0"/>
          <w:color w:val="333333"/>
          <w:spacing w:val="0"/>
          <w:sz w:val="32"/>
          <w:szCs w:val="32"/>
          <w:shd w:val="clear" w:fill="FFFFFF"/>
          <w:lang w:eastAsia="zh-CN"/>
        </w:rPr>
        <w:t>。联合广州期货交易所举办碳酸锂期货和期权上市培训活动，邀请相关专家对中国碳酸锂行业</w:t>
      </w:r>
      <w:r>
        <w:rPr>
          <w:rFonts w:hint="eastAsia" w:ascii="仿宋_GB2312" w:hAnsi="宋体" w:eastAsia="仿宋_GB2312" w:cs="仿宋_GB2312"/>
          <w:i w:val="0"/>
          <w:iCs w:val="0"/>
          <w:caps w:val="0"/>
          <w:color w:val="333333"/>
          <w:spacing w:val="0"/>
          <w:sz w:val="32"/>
          <w:szCs w:val="32"/>
          <w:shd w:val="clear" w:fill="FFFFFF"/>
          <w:lang w:val="en-US" w:eastAsia="zh-CN"/>
        </w:rPr>
        <w:t>以及上下游产业链发展热点问题</w:t>
      </w:r>
      <w:r>
        <w:rPr>
          <w:rFonts w:hint="eastAsia" w:ascii="仿宋_GB2312" w:hAnsi="宋体" w:eastAsia="仿宋_GB2312" w:cs="仿宋_GB2312"/>
          <w:i w:val="0"/>
          <w:iCs w:val="0"/>
          <w:caps w:val="0"/>
          <w:color w:val="333333"/>
          <w:spacing w:val="0"/>
          <w:sz w:val="32"/>
          <w:szCs w:val="32"/>
          <w:shd w:val="clear" w:fill="FFFFFF"/>
          <w:lang w:eastAsia="zh-CN"/>
        </w:rPr>
        <w:t>及碳酸锂期货期权合约设计思路等主题进行了深入剖析和讲解。联合大连商品交易所、广州金控期货</w:t>
      </w:r>
      <w:r>
        <w:rPr>
          <w:rFonts w:hint="eastAsia" w:ascii="仿宋_GB2312" w:hAnsi="宋体" w:eastAsia="仿宋_GB2312" w:cs="仿宋_GB2312"/>
          <w:i w:val="0"/>
          <w:iCs w:val="0"/>
          <w:caps w:val="0"/>
          <w:color w:val="333333"/>
          <w:spacing w:val="0"/>
          <w:sz w:val="32"/>
          <w:szCs w:val="32"/>
          <w:shd w:val="clear" w:fill="FFFFFF"/>
          <w:lang w:val="en-US" w:eastAsia="zh-CN"/>
        </w:rPr>
        <w:t>和</w:t>
      </w:r>
      <w:r>
        <w:rPr>
          <w:rFonts w:hint="eastAsia" w:ascii="仿宋_GB2312" w:hAnsi="宋体" w:eastAsia="仿宋_GB2312" w:cs="仿宋_GB2312"/>
          <w:i w:val="0"/>
          <w:iCs w:val="0"/>
          <w:caps w:val="0"/>
          <w:color w:val="333333"/>
          <w:spacing w:val="0"/>
          <w:sz w:val="32"/>
          <w:szCs w:val="32"/>
          <w:shd w:val="clear" w:fill="FFFFFF"/>
          <w:lang w:eastAsia="zh-CN"/>
        </w:rPr>
        <w:t>广东省养猪行业协会举办生猪产业价格风险管理研讨会，</w:t>
      </w:r>
      <w:r>
        <w:rPr>
          <w:rFonts w:hint="eastAsia" w:ascii="仿宋_GB2312" w:hAnsi="宋体" w:eastAsia="仿宋_GB2312" w:cs="仿宋_GB2312"/>
          <w:i w:val="0"/>
          <w:iCs w:val="0"/>
          <w:caps w:val="0"/>
          <w:color w:val="333333"/>
          <w:spacing w:val="0"/>
          <w:sz w:val="32"/>
          <w:szCs w:val="32"/>
          <w:shd w:val="clear" w:fill="FFFFFF"/>
          <w:lang w:val="en-US" w:eastAsia="zh-CN"/>
        </w:rPr>
        <w:t>深入探讨</w:t>
      </w:r>
      <w:r>
        <w:rPr>
          <w:rFonts w:hint="eastAsia" w:ascii="仿宋_GB2312" w:hAnsi="宋体" w:eastAsia="仿宋_GB2312" w:cs="仿宋_GB2312"/>
          <w:i w:val="0"/>
          <w:iCs w:val="0"/>
          <w:caps w:val="0"/>
          <w:color w:val="333333"/>
          <w:spacing w:val="0"/>
          <w:sz w:val="32"/>
          <w:szCs w:val="32"/>
          <w:shd w:val="clear" w:fill="FFFFFF"/>
          <w:lang w:eastAsia="zh-CN"/>
        </w:rPr>
        <w:t>期货及衍生品工具在生猪产业中的价格风险管理案例。联合广东证监局等单位举办“ESG与碳信息披露：政策与实践”研讨会，进一步推动期货经营机构提升绿色金融服务，服务广东绿色低碳发展。举办</w:t>
      </w:r>
      <w:r>
        <w:rPr>
          <w:rFonts w:hint="eastAsia" w:ascii="仿宋_GB2312" w:hAnsi="宋体" w:eastAsia="仿宋_GB2312" w:cs="仿宋_GB2312"/>
          <w:i w:val="0"/>
          <w:iCs w:val="0"/>
          <w:caps w:val="0"/>
          <w:color w:val="333333"/>
          <w:spacing w:val="0"/>
          <w:sz w:val="32"/>
          <w:szCs w:val="32"/>
          <w:shd w:val="clear" w:fill="FFFFFF"/>
          <w:lang w:val="en-US" w:eastAsia="zh-CN"/>
        </w:rPr>
        <w:t>期</w:t>
      </w:r>
      <w:r>
        <w:rPr>
          <w:rFonts w:hint="eastAsia" w:ascii="仿宋_GB2312" w:hAnsi="宋体" w:eastAsia="仿宋_GB2312" w:cs="仿宋_GB2312"/>
          <w:i w:val="0"/>
          <w:iCs w:val="0"/>
          <w:caps w:val="0"/>
          <w:color w:val="333333"/>
          <w:spacing w:val="0"/>
          <w:sz w:val="32"/>
          <w:szCs w:val="32"/>
          <w:shd w:val="clear" w:fill="FFFFFF"/>
          <w:lang w:eastAsia="zh-CN"/>
        </w:rPr>
        <w:t>货沙龙活动，邀请了广发期货相关负责人深入讲解了碳酸锂市场发展情况和《期货公司监督管理办法（征求意见稿）》的修订影响。</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仿宋_GB2312"/>
          <w:b/>
          <w:bCs/>
          <w:i w:val="0"/>
          <w:iCs w:val="0"/>
          <w:caps w:val="0"/>
          <w:color w:val="333333"/>
          <w:spacing w:val="0"/>
          <w:sz w:val="32"/>
          <w:szCs w:val="32"/>
          <w:shd w:val="clear" w:fill="FFFFFF"/>
          <w:lang w:val="en-US" w:eastAsia="zh-CN"/>
        </w:rPr>
        <w:t>四是</w:t>
      </w:r>
      <w:r>
        <w:rPr>
          <w:rFonts w:hint="eastAsia" w:ascii="仿宋_GB2312" w:hAnsi="宋体" w:eastAsia="仿宋_GB2312" w:cs="仿宋_GB2312"/>
          <w:i w:val="0"/>
          <w:iCs w:val="0"/>
          <w:caps w:val="0"/>
          <w:color w:val="333333"/>
          <w:spacing w:val="0"/>
          <w:sz w:val="32"/>
          <w:szCs w:val="32"/>
          <w:shd w:val="clear" w:fill="FFFFFF"/>
          <w:lang w:val="en-US" w:eastAsia="zh-CN"/>
        </w:rPr>
        <w:t>积极为壮大辖区行业机构力量献计献策，夯实行业高质量发展基础。针对辖区法人证券期货基金机构偏少、功能发挥不够的问题，协会在广东证监局的支持下协调多方资源，加强与地方政府、重点企业的沟通协调和信息共享，及时收集证券期货基金法人机构的转让信息，通报相关政策，努力实现新增法人机构。每季度组织召开辖区高质量发展会议，推动机构间的业务交流与合作。组织开展年度重点课题研究，</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val="en-US" w:eastAsia="zh-CN"/>
        </w:rPr>
        <w:t>高质量发展</w:t>
      </w:r>
      <w:r>
        <w:rPr>
          <w:rFonts w:hint="eastAsia" w:ascii="仿宋_GB2312" w:hAnsi="仿宋_GB2312" w:eastAsia="仿宋_GB2312" w:cs="仿宋_GB2312"/>
          <w:sz w:val="32"/>
          <w:szCs w:val="32"/>
        </w:rPr>
        <w:t>委员</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领题调研机制，并组织对申报的课题进行评审、表彰，引导会员深入探讨行业发展热点难点问题，</w:t>
      </w:r>
      <w:r>
        <w:rPr>
          <w:rFonts w:hint="eastAsia" w:ascii="仿宋_GB2312" w:hAnsi="仿宋_GB2312" w:eastAsia="仿宋_GB2312" w:cs="仿宋_GB2312"/>
          <w:sz w:val="32"/>
          <w:szCs w:val="32"/>
          <w:lang w:val="en-US" w:eastAsia="zh-CN"/>
        </w:rPr>
        <w:t>积极为监管部门等提供政策参考</w:t>
      </w:r>
      <w:r>
        <w:rPr>
          <w:rFonts w:hint="eastAsia" w:ascii="仿宋_GB2312" w:hAnsi="仿宋_GB2312" w:eastAsia="仿宋_GB2312" w:cs="仿宋_GB2312"/>
          <w:sz w:val="32"/>
          <w:szCs w:val="32"/>
        </w:rPr>
        <w:t>。组织会员调研联通（广东）产业互联网有限公司，帮助会员更好地把握金融科技与辖区行业深度融合发展趋势。</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立足自律职能，持续督促与引导行业提升自律与合规管理水平。</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ascii="仿宋" w:hAnsi="仿宋" w:eastAsia="仿宋" w:cs="仿宋"/>
          <w:sz w:val="32"/>
          <w:szCs w:val="32"/>
        </w:rPr>
      </w:pPr>
      <w:r>
        <w:rPr>
          <w:rFonts w:hint="eastAsia" w:ascii="仿宋_GB2312" w:hAnsi="宋体" w:eastAsia="仿宋_GB2312" w:cs="仿宋_GB2312"/>
          <w:b/>
          <w:bCs/>
          <w:i w:val="0"/>
          <w:iCs w:val="0"/>
          <w:caps w:val="0"/>
          <w:color w:val="333333"/>
          <w:spacing w:val="0"/>
          <w:sz w:val="32"/>
          <w:szCs w:val="32"/>
          <w:shd w:val="clear" w:fill="FFFFFF"/>
          <w:lang w:val="en-US" w:eastAsia="zh-CN"/>
        </w:rPr>
        <w:t>一是</w:t>
      </w:r>
      <w:r>
        <w:rPr>
          <w:rFonts w:hint="eastAsia" w:ascii="仿宋_GB2312" w:hAnsi="仿宋_GB2312" w:eastAsia="仿宋_GB2312" w:cs="仿宋_GB2312"/>
          <w:sz w:val="32"/>
          <w:szCs w:val="32"/>
          <w:lang w:val="en-US" w:eastAsia="zh-CN"/>
        </w:rPr>
        <w:t>开展案例警示教育精准直达改革，进一步提升合规案例的警示效果。</w:t>
      </w:r>
      <w:r>
        <w:rPr>
          <w:rFonts w:hint="eastAsia" w:ascii="仿宋" w:hAnsi="仿宋" w:eastAsia="仿宋" w:cs="仿宋"/>
          <w:b/>
          <w:bCs/>
          <w:sz w:val="32"/>
          <w:szCs w:val="32"/>
          <w:lang w:val="en-US" w:eastAsia="zh-CN"/>
        </w:rPr>
        <w:t>一方面</w:t>
      </w:r>
      <w:r>
        <w:rPr>
          <w:rFonts w:hint="eastAsia" w:ascii="仿宋" w:hAnsi="仿宋" w:eastAsia="仿宋" w:cs="仿宋"/>
          <w:b/>
          <w:bCs/>
          <w:sz w:val="32"/>
          <w:szCs w:val="32"/>
        </w:rPr>
        <w:t>，</w:t>
      </w:r>
      <w:r>
        <w:rPr>
          <w:rFonts w:hint="eastAsia" w:ascii="仿宋" w:hAnsi="仿宋" w:eastAsia="仿宋" w:cs="仿宋"/>
          <w:sz w:val="32"/>
          <w:szCs w:val="32"/>
          <w:lang w:val="en-US" w:eastAsia="zh-CN"/>
        </w:rPr>
        <w:t>协会</w:t>
      </w:r>
      <w:r>
        <w:rPr>
          <w:rFonts w:hint="eastAsia" w:ascii="仿宋" w:hAnsi="仿宋" w:eastAsia="仿宋" w:cs="仿宋"/>
          <w:sz w:val="32"/>
          <w:szCs w:val="32"/>
        </w:rPr>
        <w:t>广泛收集法院判决书、行政处罚、行政监管措施等，精准提炼警示点，深度剖析问题根源，提出防范措施，形成警示案例库。内容覆盖廉洁从业、经纪业务、投资顾问、代销金融产品、研报</w:t>
      </w:r>
      <w:r>
        <w:rPr>
          <w:rFonts w:hint="eastAsia" w:ascii="仿宋" w:hAnsi="仿宋" w:eastAsia="仿宋" w:cs="仿宋"/>
          <w:sz w:val="32"/>
          <w:szCs w:val="32"/>
          <w:lang w:val="en-US" w:eastAsia="zh-CN"/>
        </w:rPr>
        <w:t>发布</w:t>
      </w:r>
      <w:r>
        <w:rPr>
          <w:rFonts w:hint="eastAsia" w:ascii="仿宋" w:hAnsi="仿宋" w:eastAsia="仿宋" w:cs="仿宋"/>
          <w:sz w:val="32"/>
          <w:szCs w:val="32"/>
        </w:rPr>
        <w:t>、投</w:t>
      </w:r>
      <w:r>
        <w:rPr>
          <w:rFonts w:hint="eastAsia" w:ascii="仿宋" w:hAnsi="仿宋" w:eastAsia="仿宋" w:cs="仿宋"/>
          <w:sz w:val="32"/>
          <w:szCs w:val="32"/>
          <w:lang w:val="en-US" w:eastAsia="zh-CN"/>
        </w:rPr>
        <w:t>行业务</w:t>
      </w:r>
      <w:r>
        <w:rPr>
          <w:rFonts w:hint="eastAsia" w:ascii="仿宋" w:hAnsi="仿宋" w:eastAsia="仿宋" w:cs="仿宋"/>
          <w:sz w:val="32"/>
          <w:szCs w:val="32"/>
        </w:rPr>
        <w:t>等。</w:t>
      </w:r>
      <w:r>
        <w:rPr>
          <w:rFonts w:hint="eastAsia" w:ascii="仿宋" w:hAnsi="仿宋" w:eastAsia="仿宋" w:cs="仿宋"/>
          <w:b/>
          <w:bCs/>
          <w:sz w:val="32"/>
          <w:szCs w:val="32"/>
          <w:lang w:val="en-US" w:eastAsia="zh-CN"/>
        </w:rPr>
        <w:t>另一方面，</w:t>
      </w:r>
      <w:r>
        <w:rPr>
          <w:rFonts w:hint="eastAsia" w:ascii="仿宋" w:hAnsi="仿宋" w:eastAsia="仿宋" w:cs="仿宋"/>
          <w:sz w:val="32"/>
          <w:szCs w:val="32"/>
          <w:lang w:val="en-US" w:eastAsia="zh-CN"/>
        </w:rPr>
        <w:t>协会</w:t>
      </w:r>
      <w:r>
        <w:rPr>
          <w:rFonts w:hint="eastAsia" w:ascii="仿宋" w:hAnsi="仿宋" w:eastAsia="仿宋" w:cs="仿宋"/>
          <w:sz w:val="32"/>
          <w:szCs w:val="32"/>
        </w:rPr>
        <w:t>组织辖区全体</w:t>
      </w:r>
      <w:r>
        <w:rPr>
          <w:rFonts w:hint="eastAsia" w:ascii="仿宋" w:hAnsi="仿宋" w:eastAsia="仿宋" w:cs="仿宋"/>
          <w:sz w:val="32"/>
          <w:szCs w:val="32"/>
          <w:lang w:val="en-US" w:eastAsia="zh-CN"/>
        </w:rPr>
        <w:t>证券</w:t>
      </w:r>
      <w:r>
        <w:rPr>
          <w:rFonts w:hint="eastAsia" w:ascii="仿宋" w:hAnsi="仿宋" w:eastAsia="仿宋" w:cs="仿宋"/>
          <w:sz w:val="32"/>
          <w:szCs w:val="32"/>
        </w:rPr>
        <w:t>从业人员在协会信息管理系统注册账号并标识岗位，按照案例违法违规事实，向同岗位从业人员推送，着力提高警示教育的精准度。</w:t>
      </w:r>
      <w:r>
        <w:rPr>
          <w:rFonts w:hint="eastAsia" w:ascii="仿宋" w:hAnsi="仿宋" w:eastAsia="仿宋" w:cs="仿宋"/>
          <w:sz w:val="32"/>
          <w:szCs w:val="32"/>
          <w:lang w:val="en-US" w:eastAsia="zh-CN"/>
        </w:rPr>
        <w:t>2023年</w:t>
      </w:r>
      <w:r>
        <w:rPr>
          <w:rFonts w:hint="eastAsia" w:ascii="仿宋" w:hAnsi="仿宋" w:eastAsia="仿宋" w:cs="仿宋"/>
          <w:sz w:val="32"/>
          <w:szCs w:val="32"/>
        </w:rPr>
        <w:t>，</w:t>
      </w:r>
      <w:r>
        <w:rPr>
          <w:rFonts w:hint="eastAsia" w:ascii="仿宋" w:hAnsi="仿宋" w:eastAsia="仿宋" w:cs="仿宋"/>
          <w:sz w:val="32"/>
          <w:szCs w:val="32"/>
          <w:lang w:val="en-US" w:eastAsia="zh-CN"/>
        </w:rPr>
        <w:t>警示案例</w:t>
      </w:r>
      <w:r>
        <w:rPr>
          <w:rFonts w:hint="eastAsia" w:ascii="仿宋" w:hAnsi="仿宋" w:eastAsia="仿宋" w:cs="仿宋"/>
          <w:sz w:val="32"/>
          <w:szCs w:val="32"/>
        </w:rPr>
        <w:t>累计签阅超100 万人次，覆盖辖区近3万名从业人员，大部分证券经营机构的签阅率达到 90%以上。</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rPr>
        <w:t>完成证券</w:t>
      </w:r>
      <w:r>
        <w:rPr>
          <w:rFonts w:hint="eastAsia" w:ascii="仿宋" w:hAnsi="仿宋" w:eastAsia="仿宋" w:cs="仿宋"/>
          <w:sz w:val="32"/>
          <w:szCs w:val="32"/>
          <w:lang w:val="en-US" w:eastAsia="zh-CN"/>
        </w:rPr>
        <w:t>期货</w:t>
      </w:r>
      <w:r>
        <w:rPr>
          <w:rFonts w:hint="eastAsia" w:ascii="仿宋" w:hAnsi="仿宋" w:eastAsia="仿宋" w:cs="仿宋"/>
          <w:sz w:val="32"/>
          <w:szCs w:val="32"/>
        </w:rPr>
        <w:t>公司分支机构分类评价自律检查工作。按照广东证监局要求，</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1074家证券分支机构和127家期货公司分支机构的自律评分工作，并</w:t>
      </w:r>
      <w:r>
        <w:rPr>
          <w:rFonts w:hint="eastAsia" w:ascii="仿宋" w:hAnsi="仿宋" w:eastAsia="仿宋" w:cs="仿宋"/>
          <w:sz w:val="32"/>
          <w:szCs w:val="32"/>
        </w:rPr>
        <w:t>对辖区29家证券公司分支机构</w:t>
      </w:r>
      <w:r>
        <w:rPr>
          <w:rFonts w:hint="eastAsia" w:ascii="仿宋" w:hAnsi="仿宋" w:eastAsia="仿宋" w:cs="仿宋"/>
          <w:sz w:val="32"/>
          <w:szCs w:val="32"/>
          <w:lang w:val="en-US" w:eastAsia="zh-CN"/>
        </w:rPr>
        <w:t>开展了</w:t>
      </w:r>
      <w:r>
        <w:rPr>
          <w:rFonts w:hint="eastAsia" w:ascii="仿宋" w:hAnsi="仿宋" w:eastAsia="仿宋" w:cs="仿宋"/>
          <w:sz w:val="32"/>
          <w:szCs w:val="32"/>
        </w:rPr>
        <w:t>现场自律检查</w:t>
      </w:r>
      <w:r>
        <w:rPr>
          <w:rFonts w:hint="eastAsia" w:ascii="仿宋" w:hAnsi="仿宋" w:eastAsia="仿宋" w:cs="仿宋"/>
          <w:sz w:val="32"/>
          <w:szCs w:val="32"/>
          <w:lang w:eastAsia="zh-CN"/>
        </w:rPr>
        <w:t>。</w:t>
      </w:r>
      <w:r>
        <w:rPr>
          <w:rFonts w:hint="eastAsia" w:ascii="仿宋" w:hAnsi="仿宋" w:eastAsia="仿宋" w:cs="仿宋"/>
          <w:sz w:val="32"/>
          <w:szCs w:val="32"/>
        </w:rPr>
        <w:t>帮助</w:t>
      </w:r>
      <w:r>
        <w:rPr>
          <w:rFonts w:hint="eastAsia" w:ascii="仿宋" w:hAnsi="仿宋" w:eastAsia="仿宋" w:cs="仿宋"/>
          <w:sz w:val="32"/>
          <w:szCs w:val="32"/>
          <w:lang w:val="en-US" w:eastAsia="zh-CN"/>
        </w:rPr>
        <w:t>相关会员</w:t>
      </w:r>
      <w:r>
        <w:rPr>
          <w:rFonts w:hint="eastAsia" w:ascii="仿宋" w:hAnsi="仿宋" w:eastAsia="仿宋" w:cs="仿宋"/>
          <w:sz w:val="32"/>
          <w:szCs w:val="32"/>
        </w:rPr>
        <w:t>及时发现存在的合规风险，并</w:t>
      </w:r>
      <w:r>
        <w:rPr>
          <w:rFonts w:hint="eastAsia" w:ascii="仿宋" w:hAnsi="仿宋" w:eastAsia="仿宋" w:cs="仿宋"/>
          <w:sz w:val="32"/>
          <w:szCs w:val="32"/>
          <w:lang w:val="en-US" w:eastAsia="zh-CN"/>
        </w:rPr>
        <w:t>提出相应的风险防范</w:t>
      </w:r>
      <w:r>
        <w:rPr>
          <w:rFonts w:hint="eastAsia" w:ascii="仿宋" w:hAnsi="仿宋" w:eastAsia="仿宋" w:cs="仿宋"/>
          <w:sz w:val="32"/>
          <w:szCs w:val="32"/>
        </w:rPr>
        <w:t>措施</w:t>
      </w:r>
      <w:r>
        <w:rPr>
          <w:rFonts w:hint="eastAsia" w:ascii="仿宋" w:hAnsi="仿宋" w:eastAsia="仿宋" w:cs="仿宋"/>
          <w:sz w:val="32"/>
          <w:szCs w:val="32"/>
          <w:lang w:val="en-US" w:eastAsia="zh-CN"/>
        </w:rPr>
        <w:t>建议</w:t>
      </w:r>
      <w:r>
        <w:rPr>
          <w:rFonts w:hint="eastAsia" w:ascii="仿宋" w:hAnsi="仿宋" w:eastAsia="仿宋" w:cs="仿宋"/>
          <w:sz w:val="32"/>
          <w:szCs w:val="32"/>
        </w:rPr>
        <w:t>，有效降低</w:t>
      </w:r>
      <w:r>
        <w:rPr>
          <w:rFonts w:hint="eastAsia" w:ascii="仿宋" w:hAnsi="仿宋" w:eastAsia="仿宋" w:cs="仿宋"/>
          <w:sz w:val="32"/>
          <w:szCs w:val="32"/>
          <w:lang w:val="en-US" w:eastAsia="zh-CN"/>
        </w:rPr>
        <w:t>会员违法</w:t>
      </w:r>
      <w:r>
        <w:rPr>
          <w:rFonts w:hint="eastAsia" w:ascii="仿宋" w:hAnsi="仿宋" w:eastAsia="仿宋" w:cs="仿宋"/>
          <w:sz w:val="32"/>
          <w:szCs w:val="32"/>
        </w:rPr>
        <w:t>违规行为的发生概率。</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default" w:ascii="仿宋_GB2312" w:hAnsi="宋体" w:eastAsia="仿宋_GB2312" w:cs="仿宋_GB2312"/>
          <w:sz w:val="32"/>
          <w:szCs w:val="32"/>
          <w:shd w:val="clear" w:color="auto" w:fill="FFFFFF"/>
          <w:lang w:val="en-US" w:eastAsia="zh-CN"/>
        </w:rPr>
      </w:pP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开展</w:t>
      </w:r>
      <w:r>
        <w:rPr>
          <w:rFonts w:hint="eastAsia" w:ascii="仿宋" w:hAnsi="仿宋" w:eastAsia="仿宋" w:cs="仿宋"/>
          <w:sz w:val="32"/>
          <w:szCs w:val="32"/>
        </w:rPr>
        <w:t>合规培训与</w:t>
      </w:r>
      <w:r>
        <w:rPr>
          <w:rFonts w:hint="eastAsia" w:ascii="仿宋" w:hAnsi="仿宋" w:eastAsia="仿宋" w:cs="仿宋"/>
          <w:sz w:val="32"/>
          <w:szCs w:val="32"/>
          <w:lang w:val="en-US" w:eastAsia="zh-CN"/>
        </w:rPr>
        <w:t>合规</w:t>
      </w:r>
      <w:r>
        <w:rPr>
          <w:rFonts w:hint="eastAsia" w:ascii="仿宋" w:hAnsi="仿宋" w:eastAsia="仿宋" w:cs="仿宋"/>
          <w:sz w:val="32"/>
          <w:szCs w:val="32"/>
        </w:rPr>
        <w:t>沙龙活动，</w:t>
      </w:r>
      <w:r>
        <w:rPr>
          <w:rFonts w:hint="eastAsia" w:ascii="仿宋" w:hAnsi="仿宋" w:eastAsia="仿宋" w:cs="仿宋"/>
          <w:sz w:val="32"/>
          <w:szCs w:val="32"/>
          <w:lang w:val="en-US" w:eastAsia="zh-CN"/>
        </w:rPr>
        <w:t>提升会员合规管理能力</w:t>
      </w:r>
      <w:r>
        <w:rPr>
          <w:rFonts w:hint="eastAsia" w:ascii="仿宋" w:hAnsi="仿宋" w:eastAsia="仿宋" w:cs="仿宋"/>
          <w:sz w:val="32"/>
          <w:szCs w:val="32"/>
        </w:rPr>
        <w:t>。举办辖区证券期货经营机构投诉处理专题培训班</w:t>
      </w:r>
      <w:r>
        <w:rPr>
          <w:rFonts w:hint="eastAsia" w:ascii="仿宋" w:hAnsi="仿宋" w:eastAsia="仿宋" w:cs="仿宋"/>
          <w:sz w:val="32"/>
          <w:szCs w:val="32"/>
          <w:lang w:eastAsia="zh-CN"/>
        </w:rPr>
        <w:t>，</w:t>
      </w:r>
      <w:r>
        <w:rPr>
          <w:rFonts w:hint="eastAsia" w:ascii="仿宋" w:hAnsi="仿宋" w:eastAsia="仿宋" w:cs="仿宋"/>
          <w:sz w:val="32"/>
          <w:szCs w:val="32"/>
        </w:rPr>
        <w:t>邀请</w:t>
      </w:r>
      <w:r>
        <w:rPr>
          <w:rFonts w:hint="eastAsia" w:ascii="仿宋" w:hAnsi="仿宋" w:eastAsia="仿宋" w:cs="仿宋"/>
          <w:sz w:val="32"/>
          <w:szCs w:val="32"/>
          <w:lang w:val="en-US" w:eastAsia="zh-CN"/>
        </w:rPr>
        <w:t>行业监管干部、调解中心和高校老师分析</w:t>
      </w:r>
      <w:r>
        <w:rPr>
          <w:rFonts w:hint="eastAsia" w:ascii="仿宋" w:hAnsi="仿宋" w:eastAsia="仿宋" w:cs="仿宋"/>
          <w:sz w:val="32"/>
          <w:szCs w:val="32"/>
        </w:rPr>
        <w:t>辖区证</w:t>
      </w:r>
      <w:r>
        <w:rPr>
          <w:rFonts w:hint="eastAsia" w:ascii="仿宋_GB2312" w:hAnsi="宋体" w:eastAsia="仿宋_GB2312" w:cs="仿宋_GB2312"/>
          <w:sz w:val="32"/>
          <w:szCs w:val="32"/>
          <w:shd w:val="clear" w:color="auto" w:fill="FFFFFF"/>
        </w:rPr>
        <w:t>券经营机构信访举报情况和典型案例，</w:t>
      </w:r>
      <w:r>
        <w:rPr>
          <w:rFonts w:ascii="仿宋_GB2312" w:hAnsi="宋体" w:eastAsia="仿宋_GB2312" w:cs="仿宋_GB2312"/>
          <w:sz w:val="32"/>
          <w:szCs w:val="32"/>
          <w:shd w:val="clear" w:color="auto" w:fill="FFFFFF"/>
        </w:rPr>
        <w:t>分享常见投诉问题和处理方法</w:t>
      </w:r>
      <w:r>
        <w:rPr>
          <w:rFonts w:hint="eastAsia" w:ascii="仿宋_GB2312" w:hAnsi="宋体" w:eastAsia="仿宋_GB2312" w:cs="仿宋_GB2312"/>
          <w:sz w:val="32"/>
          <w:szCs w:val="32"/>
          <w:shd w:val="clear" w:color="auto" w:fill="FFFFFF"/>
        </w:rPr>
        <w:t>，讲解金融纠纷投诉接待技巧等。举办了4期合规沙龙活动，</w:t>
      </w:r>
      <w:r>
        <w:rPr>
          <w:rFonts w:hint="eastAsia" w:ascii="仿宋_GB2312" w:hAnsi="宋体" w:eastAsia="仿宋_GB2312" w:cs="仿宋_GB2312"/>
          <w:sz w:val="32"/>
          <w:szCs w:val="32"/>
          <w:shd w:val="clear" w:color="auto" w:fill="FFFFFF"/>
          <w:lang w:val="en-US" w:eastAsia="zh-CN"/>
        </w:rPr>
        <w:t>分别邀请了国信证券总部以及广州分公司和粤西分公司、广发证券、国投证券的合规管理人员分享合规管理工作经验、客户交易行为管理经验、客户纠纷防范化解实践和经纪业务适当性管理做法等。</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ascii="仿宋_GB2312" w:hAnsi="仿宋_GB2312" w:eastAsia="仿宋_GB2312" w:cs="仿宋_GB2312"/>
          <w:sz w:val="32"/>
          <w:szCs w:val="32"/>
        </w:rPr>
      </w:pPr>
      <w:r>
        <w:rPr>
          <w:rFonts w:hint="eastAsia" w:ascii="仿宋_GB2312" w:hAnsi="宋体" w:eastAsia="仿宋_GB2312" w:cs="仿宋_GB2312"/>
          <w:b/>
          <w:bCs/>
          <w:i w:val="0"/>
          <w:iCs w:val="0"/>
          <w:caps w:val="0"/>
          <w:color w:val="333333"/>
          <w:spacing w:val="0"/>
          <w:sz w:val="32"/>
          <w:szCs w:val="32"/>
          <w:shd w:val="clear" w:fill="FFFFFF"/>
          <w:lang w:val="en-US" w:eastAsia="zh-CN"/>
        </w:rPr>
        <w:t>四是</w:t>
      </w:r>
      <w:r>
        <w:rPr>
          <w:rFonts w:hint="eastAsia" w:ascii="仿宋_GB2312" w:hAnsi="仿宋_GB2312" w:eastAsia="仿宋_GB2312" w:cs="仿宋_GB2312"/>
          <w:sz w:val="32"/>
          <w:szCs w:val="32"/>
        </w:rPr>
        <w:t>支持指导调解中心做好日常纠纷调解工作。</w:t>
      </w:r>
      <w:r>
        <w:rPr>
          <w:rFonts w:hint="eastAsia" w:ascii="仿宋_GB2312" w:hAnsi="仿宋_GB2312" w:eastAsia="仿宋_GB2312" w:cs="仿宋_GB2312"/>
          <w:sz w:val="32"/>
          <w:szCs w:val="32"/>
          <w:lang w:val="en-US" w:eastAsia="zh-CN"/>
        </w:rPr>
        <w:t>协会支持调解中心向国投证券广州分公司、华泰证券广东分公司、华创证券广东分公司和国元证券广州分公司分别</w:t>
      </w:r>
      <w:r>
        <w:rPr>
          <w:rFonts w:hint="eastAsia" w:ascii="仿宋_GB2312" w:hAnsi="仿宋_GB2312" w:eastAsia="仿宋_GB2312" w:cs="仿宋_GB2312"/>
          <w:sz w:val="32"/>
          <w:szCs w:val="32"/>
        </w:rPr>
        <w:t>借调相关业务人员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协助处理</w:t>
      </w:r>
      <w:r>
        <w:rPr>
          <w:rFonts w:hint="eastAsia" w:ascii="仿宋_GB2312" w:hAnsi="仿宋_GB2312" w:eastAsia="仿宋_GB2312" w:cs="仿宋_GB2312"/>
          <w:sz w:val="32"/>
          <w:szCs w:val="32"/>
          <w:lang w:val="en-US" w:eastAsia="zh-CN"/>
        </w:rPr>
        <w:t>投资者咨询与</w:t>
      </w:r>
      <w:r>
        <w:rPr>
          <w:rFonts w:hint="eastAsia" w:ascii="仿宋_GB2312" w:hAnsi="仿宋_GB2312" w:eastAsia="仿宋_GB2312" w:cs="仿宋_GB2312"/>
          <w:sz w:val="32"/>
          <w:szCs w:val="32"/>
        </w:rPr>
        <w:t>纠纷调解工作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极大充实了调解工作力量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，调解中心共解答咨询2</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件，受理纠纷</w:t>
      </w:r>
      <w:r>
        <w:rPr>
          <w:rFonts w:hint="eastAsia" w:ascii="仿宋_GB2312" w:hAnsi="仿宋_GB2312" w:eastAsia="仿宋_GB2312" w:cs="仿宋_GB2312"/>
          <w:sz w:val="32"/>
          <w:szCs w:val="32"/>
          <w:lang w:val="en-US" w:eastAsia="zh-CN"/>
        </w:rPr>
        <w:t>716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716</w:t>
      </w:r>
      <w:r>
        <w:rPr>
          <w:rFonts w:hint="eastAsia" w:ascii="仿宋_GB2312" w:hAnsi="仿宋_GB2312" w:eastAsia="仿宋_GB2312" w:cs="仿宋_GB2312"/>
          <w:sz w:val="32"/>
          <w:szCs w:val="32"/>
        </w:rPr>
        <w:t>件纠纷中，调解成功</w:t>
      </w:r>
      <w:r>
        <w:rPr>
          <w:rFonts w:hint="eastAsia" w:ascii="仿宋_GB2312" w:hAnsi="仿宋_GB2312" w:eastAsia="仿宋_GB2312" w:cs="仿宋_GB2312"/>
          <w:sz w:val="32"/>
          <w:szCs w:val="32"/>
          <w:lang w:val="en-US" w:eastAsia="zh-CN"/>
        </w:rPr>
        <w:t>671</w:t>
      </w:r>
      <w:r>
        <w:rPr>
          <w:rFonts w:hint="eastAsia" w:ascii="仿宋_GB2312" w:hAnsi="仿宋_GB2312" w:eastAsia="仿宋_GB2312" w:cs="仿宋_GB2312"/>
          <w:sz w:val="32"/>
          <w:szCs w:val="32"/>
        </w:rPr>
        <w:t>件，调解成功率</w:t>
      </w:r>
      <w:r>
        <w:rPr>
          <w:rFonts w:hint="eastAsia" w:ascii="仿宋_GB2312" w:hAnsi="仿宋_GB2312" w:eastAsia="仿宋_GB2312" w:cs="仿宋_GB2312"/>
          <w:sz w:val="32"/>
          <w:szCs w:val="32"/>
          <w:lang w:val="en-US" w:eastAsia="zh-CN"/>
        </w:rPr>
        <w:t>93.7</w:t>
      </w:r>
      <w:r>
        <w:rPr>
          <w:rFonts w:hint="eastAsia" w:ascii="仿宋_GB2312" w:hAnsi="仿宋_GB2312" w:eastAsia="仿宋_GB2312" w:cs="仿宋_GB2312"/>
          <w:sz w:val="32"/>
          <w:szCs w:val="32"/>
        </w:rPr>
        <w:t>%，调解成功涉及金额</w:t>
      </w:r>
      <w:r>
        <w:rPr>
          <w:rFonts w:hint="eastAsia" w:ascii="仿宋_GB2312" w:hAnsi="仿宋_GB2312" w:eastAsia="仿宋_GB2312" w:cs="仿宋_GB2312"/>
          <w:sz w:val="32"/>
          <w:szCs w:val="32"/>
          <w:lang w:val="en-US" w:eastAsia="zh-CN"/>
        </w:rPr>
        <w:t>4874</w:t>
      </w:r>
      <w:r>
        <w:rPr>
          <w:rFonts w:hint="eastAsia" w:ascii="仿宋_GB2312" w:hAnsi="仿宋_GB2312" w:eastAsia="仿宋_GB2312" w:cs="仿宋_GB2312"/>
          <w:sz w:val="32"/>
          <w:szCs w:val="32"/>
        </w:rPr>
        <w:t>万元，其中调解成功法院委派案件</w:t>
      </w:r>
      <w:r>
        <w:rPr>
          <w:rFonts w:hint="eastAsia" w:ascii="仿宋_GB2312" w:hAnsi="仿宋_GB2312" w:eastAsia="仿宋_GB2312" w:cs="仿宋_GB2312"/>
          <w:sz w:val="32"/>
          <w:szCs w:val="32"/>
          <w:lang w:val="en-US" w:eastAsia="zh-CN"/>
        </w:rPr>
        <w:t>499</w:t>
      </w:r>
      <w:r>
        <w:rPr>
          <w:rFonts w:hint="eastAsia" w:ascii="仿宋_GB2312" w:hAnsi="仿宋_GB2312" w:eastAsia="仿宋_GB2312" w:cs="仿宋_GB2312"/>
          <w:sz w:val="32"/>
          <w:szCs w:val="32"/>
        </w:rPr>
        <w:t>件，涉及金额高达</w:t>
      </w:r>
      <w:r>
        <w:rPr>
          <w:rFonts w:hint="eastAsia" w:ascii="仿宋_GB2312" w:hAnsi="仿宋_GB2312" w:eastAsia="仿宋_GB2312" w:cs="仿宋_GB2312"/>
          <w:sz w:val="32"/>
          <w:szCs w:val="32"/>
          <w:lang w:val="en-US" w:eastAsia="zh-CN"/>
        </w:rPr>
        <w:t>4511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，有调解案例被评为2022年度广州法院十大调解案例，调解员获评“十佳调解员”称号，调解中心被中证资本市场法律服务中心评为2022年度“优秀工作站”。</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楷体" w:hAnsi="楷体" w:eastAsia="楷体" w:cs="仿宋_GB2312"/>
          <w:b/>
          <w:sz w:val="32"/>
          <w:szCs w:val="32"/>
          <w:lang w:eastAsia="zh-CN"/>
        </w:rPr>
      </w:pPr>
      <w:r>
        <w:rPr>
          <w:rFonts w:hint="eastAsia" w:ascii="楷体" w:hAnsi="楷体" w:eastAsia="楷体" w:cs="仿宋_GB2312"/>
          <w:b/>
          <w:sz w:val="32"/>
          <w:szCs w:val="32"/>
          <w:lang w:eastAsia="zh-CN"/>
        </w:rPr>
        <w:t>（</w:t>
      </w:r>
      <w:r>
        <w:rPr>
          <w:rFonts w:hint="eastAsia" w:ascii="楷体" w:hAnsi="楷体" w:eastAsia="楷体" w:cs="仿宋_GB2312"/>
          <w:b/>
          <w:sz w:val="32"/>
          <w:szCs w:val="32"/>
          <w:lang w:val="en-US" w:eastAsia="zh-CN"/>
        </w:rPr>
        <w:t>三</w:t>
      </w:r>
      <w:r>
        <w:rPr>
          <w:rFonts w:hint="eastAsia" w:ascii="楷体" w:hAnsi="楷体" w:eastAsia="楷体" w:cs="仿宋_GB2312"/>
          <w:b/>
          <w:sz w:val="32"/>
          <w:szCs w:val="32"/>
          <w:lang w:eastAsia="zh-CN"/>
        </w:rPr>
        <w:t>）</w:t>
      </w:r>
      <w:r>
        <w:rPr>
          <w:rFonts w:hint="eastAsia" w:ascii="楷体" w:hAnsi="楷体" w:eastAsia="楷体" w:cs="仿宋_GB2312"/>
          <w:b/>
          <w:sz w:val="32"/>
          <w:szCs w:val="32"/>
          <w:lang w:val="en-US" w:eastAsia="zh-CN"/>
        </w:rPr>
        <w:t>立足沟通传导职能，做好做实桥梁平台建设，</w:t>
      </w:r>
      <w:r>
        <w:rPr>
          <w:rFonts w:hint="eastAsia" w:ascii="楷体" w:hAnsi="楷体" w:eastAsia="楷体" w:cs="仿宋_GB2312"/>
          <w:b/>
          <w:sz w:val="32"/>
          <w:szCs w:val="32"/>
        </w:rPr>
        <w:t>增进行业交流与活力</w:t>
      </w:r>
      <w:r>
        <w:rPr>
          <w:rFonts w:hint="eastAsia" w:ascii="楷体" w:hAnsi="楷体" w:eastAsia="楷体" w:cs="仿宋_GB2312"/>
          <w:b/>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截至2023年，协会会员总数达到1199家，其中证券公司7家，证券公司分支机构1076家，期货公司9家，异地期货公司分支机构93家，公募基金公司4家，投资咨询公司6家，中介机构3家，调解中心1家。会员数量的逐年增加，也为协会加强会员之间沟通交流提出了更高要求，协会积极开展各类会员活动，增强行业凝聚力。</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加强行业宣传载体建设，展示会员工作风采。协会鼓励所有会员积极向协会报送反映本单位工作特色的稿件，并在协会官网和微信公众号展示。同时选取具有代表性的文章，按月编辑整理成</w:t>
      </w:r>
      <w:r>
        <w:rPr>
          <w:rFonts w:hint="eastAsia" w:ascii="仿宋_GB2312" w:hAnsi="仿宋_GB2312" w:eastAsia="仿宋_GB2312" w:cs="仿宋_GB2312"/>
          <w:sz w:val="32"/>
          <w:szCs w:val="32"/>
        </w:rPr>
        <w:t>《行业动态与研究》</w:t>
      </w:r>
      <w:r>
        <w:rPr>
          <w:rFonts w:hint="eastAsia" w:ascii="仿宋_GB2312" w:hAnsi="仿宋_GB2312" w:eastAsia="仿宋_GB2312" w:cs="仿宋_GB2312"/>
          <w:sz w:val="32"/>
          <w:szCs w:val="32"/>
          <w:lang w:val="en-US" w:eastAsia="zh-CN"/>
        </w:rPr>
        <w:t>进行发布。2023年共发布</w:t>
      </w:r>
      <w:r>
        <w:rPr>
          <w:rFonts w:hint="eastAsia" w:ascii="仿宋_GB2312" w:hAnsi="仿宋_GB2312" w:eastAsia="仿宋_GB2312" w:cs="仿宋_GB2312"/>
          <w:sz w:val="32"/>
          <w:szCs w:val="32"/>
        </w:rPr>
        <w:t>12期，登载文章200余篇，充分展示会员单位在党建、业务、投教、社会责任、文化建设</w:t>
      </w:r>
      <w:r>
        <w:rPr>
          <w:rFonts w:hint="eastAsia" w:ascii="仿宋_GB2312" w:hAnsi="仿宋_GB2312" w:eastAsia="仿宋_GB2312" w:cs="仿宋_GB2312"/>
          <w:sz w:val="32"/>
          <w:szCs w:val="32"/>
          <w:lang w:val="en-US" w:eastAsia="zh-CN"/>
        </w:rPr>
        <w:t>等方面的特色，其中还增设</w:t>
      </w:r>
      <w:r>
        <w:rPr>
          <w:rFonts w:hint="eastAsia" w:ascii="仿宋_GB2312" w:hAnsi="仿宋_GB2312" w:eastAsia="仿宋_GB2312" w:cs="仿宋_GB2312"/>
          <w:sz w:val="32"/>
          <w:szCs w:val="32"/>
        </w:rPr>
        <w:t>传达学习中央金融工作会议精神</w:t>
      </w:r>
      <w:r>
        <w:rPr>
          <w:rFonts w:hint="eastAsia" w:ascii="仿宋_GB2312" w:hAnsi="仿宋_GB2312" w:eastAsia="仿宋_GB2312" w:cs="仿宋_GB2312"/>
          <w:sz w:val="32"/>
          <w:szCs w:val="32"/>
          <w:lang w:val="en-US" w:eastAsia="zh-CN"/>
        </w:rPr>
        <w:t>专栏</w:t>
      </w:r>
      <w:r>
        <w:rPr>
          <w:rFonts w:hint="eastAsia" w:ascii="仿宋_GB2312" w:hAnsi="仿宋_GB2312" w:eastAsia="仿宋_GB2312" w:cs="仿宋_GB2312"/>
          <w:sz w:val="32"/>
          <w:szCs w:val="32"/>
        </w:rPr>
        <w:t>，有效促进</w:t>
      </w:r>
      <w:r>
        <w:rPr>
          <w:rFonts w:hint="eastAsia" w:ascii="仿宋_GB2312" w:hAnsi="仿宋_GB2312" w:eastAsia="仿宋_GB2312" w:cs="仿宋_GB2312"/>
          <w:sz w:val="32"/>
          <w:szCs w:val="32"/>
          <w:lang w:val="en-US" w:eastAsia="zh-CN"/>
        </w:rPr>
        <w:t>了会员间的工作</w:t>
      </w:r>
      <w:r>
        <w:rPr>
          <w:rFonts w:hint="eastAsia" w:ascii="仿宋_GB2312" w:hAnsi="仿宋_GB2312" w:eastAsia="仿宋_GB2312" w:cs="仿宋_GB2312"/>
          <w:sz w:val="32"/>
          <w:szCs w:val="32"/>
        </w:rPr>
        <w:t>交流</w:t>
      </w:r>
      <w:r>
        <w:rPr>
          <w:rFonts w:hint="eastAsia" w:ascii="仿宋_GB2312" w:hAnsi="仿宋_GB2312" w:eastAsia="仿宋_GB2312" w:cs="仿宋_GB2312"/>
          <w:sz w:val="32"/>
          <w:szCs w:val="32"/>
          <w:lang w:val="en-US" w:eastAsia="zh-CN"/>
        </w:rPr>
        <w:t>与学习</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搭建文体活动舞台，展现行业精神活力。</w:t>
      </w:r>
      <w:r>
        <w:rPr>
          <w:rFonts w:hint="eastAsia" w:ascii="仿宋_GB2312" w:hAnsi="仿宋_GB2312" w:eastAsia="仿宋_GB2312" w:cs="仿宋_GB2312"/>
          <w:sz w:val="32"/>
          <w:szCs w:val="32"/>
        </w:rPr>
        <w:t>联合广东基金业协会举办</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广东证券基金期货业羽毛球比赛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来自两个协会共</w:t>
      </w:r>
      <w:r>
        <w:rPr>
          <w:rFonts w:hint="eastAsia" w:ascii="仿宋_GB2312" w:hAnsi="仿宋_GB2312" w:eastAsia="仿宋_GB2312" w:cs="仿宋_GB2312"/>
          <w:sz w:val="32"/>
          <w:szCs w:val="32"/>
        </w:rPr>
        <w:t>59支队伍、超过500名从业人员</w:t>
      </w:r>
      <w:r>
        <w:rPr>
          <w:rFonts w:hint="eastAsia" w:ascii="仿宋_GB2312" w:hAnsi="仿宋_GB2312" w:eastAsia="仿宋_GB2312" w:cs="仿宋_GB2312"/>
          <w:sz w:val="32"/>
          <w:szCs w:val="32"/>
          <w:lang w:val="en-US" w:eastAsia="zh-CN"/>
        </w:rPr>
        <w:t>参加5个项目的角逐</w:t>
      </w:r>
      <w:r>
        <w:rPr>
          <w:rFonts w:hint="eastAsia" w:ascii="仿宋_GB2312" w:hAnsi="仿宋_GB2312" w:eastAsia="仿宋_GB2312" w:cs="仿宋_GB2312"/>
          <w:sz w:val="32"/>
          <w:szCs w:val="32"/>
        </w:rPr>
        <w:t>。联合广发证券举办广东证券期货业“广发证券杯”篮球赛，比赛历时两周，来自辖区证券期货经营机构的32支队伍470余名运动员</w:t>
      </w:r>
      <w:r>
        <w:rPr>
          <w:rFonts w:hint="eastAsia" w:ascii="仿宋_GB2312" w:hAnsi="仿宋_GB2312" w:eastAsia="仿宋_GB2312" w:cs="仿宋_GB2312"/>
          <w:sz w:val="32"/>
          <w:szCs w:val="32"/>
          <w:lang w:val="en-US" w:eastAsia="zh-CN"/>
        </w:rPr>
        <w:t>驰骋赛场</w:t>
      </w:r>
      <w:r>
        <w:rPr>
          <w:rFonts w:hint="eastAsia" w:ascii="仿宋_GB2312" w:hAnsi="仿宋_GB2312" w:eastAsia="仿宋_GB2312" w:cs="仿宋_GB2312"/>
          <w:sz w:val="32"/>
          <w:szCs w:val="32"/>
        </w:rPr>
        <w:t>。赛场</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的激烈拼搏，</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rPr>
        <w:t>展现了行业积极向上的精神风貌，也进一步促进了会员之间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行业之间</w:t>
      </w:r>
      <w:r>
        <w:rPr>
          <w:rFonts w:hint="eastAsia" w:ascii="仿宋_GB2312" w:hAnsi="仿宋_GB2312" w:eastAsia="仿宋_GB2312" w:cs="仿宋_GB2312"/>
          <w:sz w:val="32"/>
          <w:szCs w:val="32"/>
        </w:rPr>
        <w:t>的友谊。</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深入各片区开展现场交流，</w:t>
      </w:r>
      <w:r>
        <w:rPr>
          <w:rFonts w:hint="eastAsia" w:ascii="仿宋_GB2312" w:hAnsi="仿宋_GB2312" w:eastAsia="仿宋_GB2312" w:cs="仿宋_GB2312"/>
          <w:sz w:val="32"/>
          <w:szCs w:val="32"/>
        </w:rPr>
        <w:t>提升行业认同</w:t>
      </w:r>
      <w:r>
        <w:rPr>
          <w:rFonts w:hint="eastAsia" w:ascii="仿宋_GB2312" w:hAnsi="仿宋_GB2312" w:eastAsia="仿宋_GB2312" w:cs="仿宋_GB2312"/>
          <w:sz w:val="32"/>
          <w:szCs w:val="32"/>
          <w:lang w:val="en-US" w:eastAsia="zh-CN"/>
        </w:rPr>
        <w:t>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过去几年遭受疫情影响，片区间的交流尤其是现场交流几近全无。2023年，协会领导亲自带队分别赴</w:t>
      </w:r>
      <w:r>
        <w:rPr>
          <w:rFonts w:hint="eastAsia" w:ascii="仿宋_GB2312" w:hAnsi="仿宋_GB2312" w:eastAsia="仿宋_GB2312" w:cs="仿宋_GB2312"/>
          <w:sz w:val="32"/>
          <w:szCs w:val="32"/>
        </w:rPr>
        <w:t>近20个片区召开</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座谈会议，</w:t>
      </w:r>
      <w:r>
        <w:rPr>
          <w:rFonts w:ascii="仿宋_GB2312" w:hAnsi="宋体" w:eastAsia="仿宋_GB2312" w:cs="仿宋_GB2312"/>
          <w:i w:val="0"/>
          <w:iCs w:val="0"/>
          <w:caps w:val="0"/>
          <w:color w:val="333333"/>
          <w:spacing w:val="0"/>
          <w:sz w:val="32"/>
          <w:szCs w:val="32"/>
          <w:shd w:val="clear" w:fill="FFFFFF"/>
        </w:rPr>
        <w:t>围绕对中国特色现代资本市场</w:t>
      </w:r>
      <w:r>
        <w:rPr>
          <w:rFonts w:hint="eastAsia" w:ascii="仿宋_GB2312" w:hAnsi="宋体" w:eastAsia="仿宋_GB2312" w:cs="仿宋_GB2312"/>
          <w:i w:val="0"/>
          <w:iCs w:val="0"/>
          <w:caps w:val="0"/>
          <w:color w:val="333333"/>
          <w:spacing w:val="0"/>
          <w:sz w:val="32"/>
          <w:szCs w:val="32"/>
          <w:shd w:val="clear" w:fill="FFFFFF"/>
          <w:lang w:val="en-US" w:eastAsia="zh-CN"/>
        </w:rPr>
        <w:t>的认识、</w:t>
      </w:r>
      <w:r>
        <w:rPr>
          <w:rFonts w:ascii="仿宋_GB2312" w:hAnsi="宋体" w:eastAsia="仿宋_GB2312" w:cs="仿宋_GB2312"/>
          <w:i w:val="0"/>
          <w:iCs w:val="0"/>
          <w:caps w:val="0"/>
          <w:color w:val="333333"/>
          <w:spacing w:val="0"/>
          <w:sz w:val="32"/>
          <w:szCs w:val="32"/>
          <w:shd w:val="clear" w:fill="FFFFFF"/>
        </w:rPr>
        <w:t>《证券经纪业务管理办法》学习体会</w:t>
      </w:r>
      <w:r>
        <w:rPr>
          <w:rFonts w:hint="eastAsia" w:ascii="仿宋_GB2312" w:hAnsi="宋体" w:eastAsia="仿宋_GB2312" w:cs="仿宋_GB2312"/>
          <w:i w:val="0"/>
          <w:iCs w:val="0"/>
          <w:caps w:val="0"/>
          <w:color w:val="333333"/>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财富管理转型</w:t>
      </w:r>
      <w:r>
        <w:rPr>
          <w:rFonts w:hint="eastAsia" w:ascii="仿宋_GB2312" w:hAnsi="宋体" w:eastAsia="仿宋_GB2312" w:cs="仿宋_GB2312"/>
          <w:i w:val="0"/>
          <w:iCs w:val="0"/>
          <w:caps w:val="0"/>
          <w:color w:val="333333"/>
          <w:spacing w:val="0"/>
          <w:sz w:val="32"/>
          <w:szCs w:val="32"/>
          <w:shd w:val="clear" w:fill="FFFFFF"/>
          <w:lang w:val="en-US" w:eastAsia="zh-CN"/>
        </w:rPr>
        <w:t>等展开讨论，宣讲典型监管案例，交流片区行业自律的看法，分析探讨片区行业发展面临的困境和政策建议，有力增进了片区内</w:t>
      </w:r>
      <w:r>
        <w:rPr>
          <w:rFonts w:hint="eastAsia" w:ascii="仿宋_GB2312" w:hAnsi="仿宋_GB2312" w:eastAsia="仿宋_GB2312" w:cs="仿宋_GB2312"/>
          <w:sz w:val="32"/>
          <w:szCs w:val="32"/>
        </w:rPr>
        <w:t>会员单位的沟通了解，</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在区域内形成行业合力。组织召开</w:t>
      </w:r>
      <w:r>
        <w:rPr>
          <w:rFonts w:hint="eastAsia" w:ascii="仿宋_GB2312" w:hAnsi="仿宋_GB2312" w:eastAsia="仿宋_GB2312" w:cs="仿宋_GB2312"/>
          <w:sz w:val="32"/>
          <w:szCs w:val="32"/>
          <w:lang w:val="en-US" w:eastAsia="zh-CN"/>
        </w:rPr>
        <w:t>东莞、中山、珠海、江门和佛山五个</w:t>
      </w:r>
      <w:r>
        <w:rPr>
          <w:rFonts w:hint="eastAsia" w:ascii="仿宋_GB2312" w:hAnsi="仿宋_GB2312" w:eastAsia="仿宋_GB2312" w:cs="仿宋_GB2312"/>
          <w:sz w:val="32"/>
          <w:szCs w:val="32"/>
        </w:rPr>
        <w:t>地方协会座谈会，相互交流工作经验</w:t>
      </w:r>
      <w:r>
        <w:rPr>
          <w:rFonts w:hint="eastAsia" w:ascii="仿宋_GB2312" w:hAnsi="仿宋_GB2312" w:eastAsia="仿宋_GB2312" w:cs="仿宋_GB2312"/>
          <w:sz w:val="32"/>
          <w:szCs w:val="32"/>
          <w:lang w:val="en-US" w:eastAsia="zh-CN"/>
        </w:rPr>
        <w:t>和工作计划</w:t>
      </w:r>
      <w:r>
        <w:rPr>
          <w:rFonts w:hint="eastAsia" w:ascii="仿宋_GB2312" w:hAnsi="仿宋_GB2312" w:eastAsia="仿宋_GB2312" w:cs="仿宋_GB2312"/>
          <w:sz w:val="32"/>
          <w:szCs w:val="32"/>
        </w:rPr>
        <w:t>，探讨在会员服务、行业自律、培训交流等方面的合作，形成良性互动。</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楷体" w:hAnsi="楷体" w:eastAsia="楷体" w:cs="仿宋_GB2312"/>
          <w:b/>
          <w:sz w:val="32"/>
          <w:szCs w:val="32"/>
          <w:lang w:val="en-US" w:eastAsia="zh-CN"/>
        </w:rPr>
      </w:pPr>
      <w:r>
        <w:rPr>
          <w:rFonts w:hint="eastAsia" w:ascii="楷体" w:hAnsi="楷体" w:eastAsia="楷体" w:cs="仿宋_GB2312"/>
          <w:b/>
          <w:sz w:val="32"/>
          <w:szCs w:val="32"/>
          <w:lang w:val="en-US" w:eastAsia="zh-CN"/>
        </w:rPr>
        <w:t>（四）立足党建引领，持续推进行业党建工作与业务深度融合。</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深入开展主题教育学习。</w:t>
      </w:r>
      <w:r>
        <w:rPr>
          <w:rFonts w:hint="eastAsia" w:ascii="仿宋_GB2312" w:hAnsi="仿宋_GB2312" w:eastAsia="仿宋_GB2312" w:cs="仿宋_GB2312"/>
          <w:sz w:val="32"/>
          <w:szCs w:val="32"/>
        </w:rPr>
        <w:t>扎实做好学习贯彻习近平新时代中国特色社会主义思想主题教育第一批总结。深入学习领悟以学铸魂、以学增智、以学正风、以学促干的丰富内涵和实践要求</w:t>
      </w:r>
      <w:r>
        <w:rPr>
          <w:rFonts w:hint="eastAsia" w:ascii="仿宋_GB2312" w:hAnsi="仿宋" w:eastAsia="仿宋_GB2312"/>
          <w:sz w:val="32"/>
          <w:szCs w:val="32"/>
        </w:rPr>
        <w:t>，以主题教育理论学习推动协会调查研究、服务发展、检视整改等各项工作，推动全体党员</w:t>
      </w:r>
      <w:r>
        <w:rPr>
          <w:rFonts w:hint="eastAsia" w:ascii="仿宋_GB2312" w:eastAsia="仿宋_GB2312"/>
          <w:sz w:val="32"/>
          <w:szCs w:val="32"/>
        </w:rPr>
        <w:t>从“跟着学”向“自觉悟”转变</w:t>
      </w:r>
      <w:r>
        <w:rPr>
          <w:rFonts w:hint="eastAsia" w:ascii="仿宋_GB2312" w:hAnsi="仿宋_GB2312" w:eastAsia="仿宋_GB2312" w:cs="仿宋_GB2312"/>
          <w:sz w:val="32"/>
          <w:szCs w:val="32"/>
        </w:rPr>
        <w:t>，及时</w:t>
      </w:r>
      <w:r>
        <w:rPr>
          <w:rFonts w:hint="eastAsia" w:ascii="仿宋_GB2312" w:hAnsi="仿宋" w:eastAsia="仿宋_GB2312"/>
          <w:sz w:val="32"/>
          <w:szCs w:val="32"/>
        </w:rPr>
        <w:t>总结开展主题教育以来的实际成效，</w:t>
      </w:r>
      <w:r>
        <w:rPr>
          <w:rFonts w:hint="eastAsia" w:ascii="仿宋_GB2312" w:hAnsi="仿宋_GB2312" w:eastAsia="仿宋_GB2312" w:cs="仿宋_GB2312"/>
          <w:sz w:val="32"/>
          <w:szCs w:val="32"/>
        </w:rPr>
        <w:t>深化对建设中国特色现代资本市场规律的认识，推动协会工作服务辖区行业高质量发展。</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 w:eastAsia="仿宋_GB2312"/>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 w:eastAsia="仿宋_GB2312"/>
          <w:sz w:val="32"/>
          <w:szCs w:val="32"/>
        </w:rPr>
        <w:t>将党建工作内容融入辖区20个片区的联系人工作职责，分片区组织开展合规宣讲活动和中国特色现代资本市场大讨论，以党建引领行业合规文化建设。</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抓好</w:t>
      </w:r>
      <w:r>
        <w:rPr>
          <w:rFonts w:hint="eastAsia" w:ascii="仿宋_GB2312" w:hAnsi="仿宋_GB2312" w:eastAsia="仿宋_GB2312" w:cs="仿宋_GB2312"/>
          <w:sz w:val="32"/>
          <w:szCs w:val="32"/>
          <w:lang w:val="en-US" w:eastAsia="zh-CN"/>
        </w:rPr>
        <w:t>证监会党委</w:t>
      </w:r>
      <w:r>
        <w:rPr>
          <w:rFonts w:hint="eastAsia" w:ascii="仿宋_GB2312" w:hAnsi="仿宋_GB2312" w:eastAsia="仿宋_GB2312" w:cs="仿宋_GB2312"/>
          <w:sz w:val="32"/>
          <w:szCs w:val="32"/>
        </w:rPr>
        <w:t>巡视整改工作落实。将《协会自律管理和服务发展能力提升行动方案》和巡视整改措施分工到人，逐项督办落实。</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以党建品牌创建为契机，持续加强党支部标准化规范化建设。全年召开党员大会4次，组织集中学习12次，主题党日活动5次，支部书记讲党课1次，与党员干部谈心谈话全覆盖，召开专题组织生活会，开展民主评议党员，发展1名年轻干部，做好入党申请谈话和入党辅导工作。</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联合广东证监局相关处室、会员单位和其他行业协会开展党支部共建活动，了解大家在促进党建与业务融合方面的好经验、好方法，并加强宣传学习，提升辖区行业党建工作水平。</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持续做好普宁占陇镇乡村振兴工作。完成农贸市场的竣工验收，在村址楼顶和农贸市场楼顶援建光伏发电项目，完成第二期村内道路水泥硬底化工程，捐赠一批电脑和空调设备，改善了延长埔村小学教学条件。</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楷体" w:hAnsi="楷体" w:eastAsia="楷体" w:cs="仿宋_GB2312"/>
          <w:b/>
          <w:sz w:val="32"/>
          <w:szCs w:val="32"/>
          <w:lang w:val="en-US" w:eastAsia="zh-CN"/>
        </w:rPr>
      </w:pPr>
      <w:r>
        <w:rPr>
          <w:rFonts w:hint="eastAsia" w:ascii="楷体" w:hAnsi="楷体" w:eastAsia="楷体" w:cs="仿宋_GB2312"/>
          <w:b/>
          <w:sz w:val="32"/>
          <w:szCs w:val="32"/>
          <w:lang w:val="en-US" w:eastAsia="zh-CN"/>
        </w:rPr>
        <w:t>（五）立足行业发展基石，常抓不懈推进投资者教育工作。</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联合开办投资者教育公益广播专栏。</w:t>
      </w:r>
      <w:r>
        <w:rPr>
          <w:rFonts w:hint="eastAsia" w:ascii="仿宋_GB2312" w:hAnsi="仿宋_GB2312" w:eastAsia="仿宋_GB2312" w:cs="仿宋_GB2312"/>
          <w:sz w:val="32"/>
          <w:szCs w:val="32"/>
          <w:lang w:val="en-US" w:eastAsia="zh-CN"/>
        </w:rPr>
        <w:t>协会</w:t>
      </w:r>
      <w:r>
        <w:rPr>
          <w:rFonts w:hint="eastAsia" w:ascii="仿宋_GB2312" w:hAnsi="仿宋_GB2312" w:eastAsia="仿宋_GB2312" w:cs="仿宋_GB2312"/>
          <w:sz w:val="32"/>
          <w:szCs w:val="32"/>
        </w:rPr>
        <w:t>与广东股市广播等单位开办电台广播、网络视频直播节目证券期货投资者教育公益专栏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组织引导证券期货经营机构会员推荐专业人员担任专栏嘉宾，与主持人共同探讨点评时下热点财经要闻、分析行业前景和大盘走势、提示投资风险，同时与投资者互动，</w:t>
      </w:r>
      <w:r>
        <w:rPr>
          <w:rFonts w:hint="eastAsia" w:ascii="仿宋_GB2312" w:hAnsi="仿宋_GB2312" w:eastAsia="仿宋_GB2312" w:cs="仿宋_GB2312"/>
          <w:sz w:val="32"/>
          <w:szCs w:val="32"/>
        </w:rPr>
        <w:t>进一步加强辖区证券期货行业宣传和舆论正面引导作用，增强投资者教育工作的生动性和社会影响力，帮助投资者树立理性投资观念。</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改版重启《有调有理》栏目，推出5期专题案例解读。</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微软雅黑" w:hAnsi="微软雅黑" w:eastAsia="微软雅黑" w:cs="微软雅黑"/>
          <w:bCs/>
          <w:sz w:val="24"/>
          <w:szCs w:val="24"/>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联合南方财经全媒体集团开展注册制相关专题报道。联合股市广播和南方财经投教基地共同推出《全面注册制，改革向未来——注册制首席谈》系列报道，多角度、多层次地展望了我国资本市场的未来发展趋势，解读了全面注册制实施的政策内容和制度安排，有效帮助广大投资者及时、准确理解全面实行注册制的重点内容与政策解读。</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val="en-US" w:eastAsia="zh-CN"/>
        </w:rPr>
        <w:t>动</w:t>
      </w:r>
      <w:r>
        <w:rPr>
          <w:rFonts w:hint="eastAsia" w:ascii="仿宋_GB2312" w:hAnsi="仿宋_GB2312" w:eastAsia="仿宋_GB2312" w:cs="仿宋_GB2312"/>
          <w:sz w:val="32"/>
          <w:szCs w:val="32"/>
        </w:rPr>
        <w:t>走进上市公司开展投资者教育活动。组织会员积极</w:t>
      </w:r>
      <w:r>
        <w:rPr>
          <w:rFonts w:hint="eastAsia" w:ascii="仿宋_GB2312" w:hAnsi="仿宋_GB2312" w:eastAsia="仿宋_GB2312" w:cs="仿宋_GB2312"/>
          <w:sz w:val="32"/>
          <w:szCs w:val="32"/>
          <w:lang w:val="en-US" w:eastAsia="zh-CN"/>
        </w:rPr>
        <w:t>组织投资者</w:t>
      </w:r>
      <w:r>
        <w:rPr>
          <w:rFonts w:hint="eastAsia" w:ascii="仿宋_GB2312" w:hAnsi="仿宋_GB2312" w:eastAsia="仿宋_GB2312" w:cs="仿宋_GB2312"/>
          <w:sz w:val="32"/>
          <w:szCs w:val="32"/>
        </w:rPr>
        <w:t>参加广东证监局举办的2023年广东辖区上市公司投资者关系管理月启动仪式，与数十家上市国企面对面交流。联合广东上市公司协会和华泰证券广东分公司等组织机构投资者</w:t>
      </w:r>
      <w:r>
        <w:rPr>
          <w:rFonts w:hint="eastAsia" w:ascii="仿宋_GB2312" w:hAnsi="仿宋_GB2312" w:eastAsia="仿宋_GB2312" w:cs="仿宋_GB2312"/>
          <w:sz w:val="32"/>
          <w:szCs w:val="32"/>
          <w:lang w:val="en-US" w:eastAsia="zh-CN"/>
        </w:rPr>
        <w:t>和高净值客户</w:t>
      </w:r>
      <w:r>
        <w:rPr>
          <w:rFonts w:hint="eastAsia" w:ascii="仿宋_GB2312" w:hAnsi="仿宋_GB2312" w:eastAsia="仿宋_GB2312" w:cs="仿宋_GB2312"/>
          <w:sz w:val="32"/>
          <w:szCs w:val="32"/>
        </w:rPr>
        <w:t>走进上市公司，与公司高管</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深度交流经营发展情况，</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价值投资</w:t>
      </w:r>
      <w:r>
        <w:rPr>
          <w:rFonts w:hint="eastAsia" w:ascii="仿宋_GB2312" w:hAnsi="仿宋_GB2312" w:eastAsia="仿宋_GB2312" w:cs="仿宋_GB2312"/>
          <w:sz w:val="32"/>
          <w:szCs w:val="32"/>
          <w:lang w:val="en-US" w:eastAsia="zh-CN"/>
        </w:rPr>
        <w:t>理念深入投资者心中</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二、2023年工作体会</w:t>
      </w: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回顾全年工作，协会坚持立足“自律、服务、传导”的职能，在围绕推进行业高质量发展这一重点工作方面做出了不少努力，取得了一定成绩。辖区证券公司以差异化、特色化实现高质量发展基本形成共识，以投资者为中心的财富管理转型理念日渐深入人心，财富管理生态圈渐显并取得良好开局，期货行业服务实体经济能力进一步增强，“合规、诚信、专业、稳健”的行业文化建设逐见成效，这些工作成绩的取得离不开广东证监局的指导，离不开广大会员的支持配合，离不开理事会的决策引领，离不开监事会的监督规范，在此，我代表协会秘书处表示衷心感谢！</w:t>
      </w: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在推进完成2023年各项工作过程中，主要有以下几点体会：</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（一）积极走出去开展行业交流学习，是推动行业高质量发展的有效途径。</w:t>
      </w:r>
      <w:r>
        <w:rPr>
          <w:rFonts w:hint="eastAsia" w:ascii="仿宋_GB2312" w:hAnsi="仿宋_GB2312" w:eastAsia="仿宋_GB2312" w:cs="仿宋_GB2312"/>
          <w:sz w:val="32"/>
          <w:szCs w:val="32"/>
          <w:lang w:val="en-US" w:eastAsia="zh-CN"/>
        </w:rPr>
        <w:t>协会通过组织会员走出辖区与优秀同行学习交流，有利于帮助会员迅速找准自身行业定位，借鉴成功经验，结合自身资源禀赋实现差异化竞争。同时，常态化、多层次的培训与沙龙也是活跃行业内交流、促进人才培养的有效手段。</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（二）要进一步发挥专业委员会作用，努力做实和完善委员会工作机制。</w:t>
      </w:r>
      <w:r>
        <w:rPr>
          <w:rFonts w:hint="eastAsia" w:ascii="仿宋_GB2312" w:hAnsi="仿宋_GB2312" w:eastAsia="仿宋_GB2312" w:cs="仿宋_GB2312"/>
          <w:sz w:val="32"/>
          <w:szCs w:val="32"/>
          <w:lang w:val="en-US" w:eastAsia="zh-CN"/>
        </w:rPr>
        <w:t>各专业委员会不仅是行业交流、议事、办事的平台，更是协会的资源宝藏。协会要引导和激励专业委员会务实开展工作，把专业委员会打造成为行业的智库、规范的先手、服务的助手、传导的快手，形成行业自我管理、自我服务、自我发展的重要机制。</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（三）行业合规管理能力建设永远在路上，是行业行稳致远的重要保障。</w:t>
      </w:r>
      <w:r>
        <w:rPr>
          <w:rFonts w:hint="eastAsia" w:ascii="仿宋_GB2312" w:hAnsi="仿宋_GB2312" w:eastAsia="仿宋_GB2312" w:cs="仿宋_GB2312"/>
          <w:sz w:val="32"/>
          <w:szCs w:val="32"/>
          <w:lang w:val="en-US" w:eastAsia="zh-CN"/>
        </w:rPr>
        <w:t>协会以分支机构分类检查和案例警示教育为抓手，在督促行业规范合规经营方面起到了一定作用，但是推动行业从“要我合规”到“我要合规”的理念真正深入人心，需要内外合力。协会要提升自律检查与管理能力，会员要真正将廉洁从业和执业道德建设落到实处，共同营造合规创造价值的良好行业氛围。</w:t>
      </w:r>
    </w:p>
    <w:p>
      <w:pPr>
        <w:keepNext w:val="0"/>
        <w:keepLines w:val="0"/>
        <w:pageBreakBefore w:val="0"/>
        <w:widowControl w:val="0"/>
        <w:kinsoku/>
        <w:wordWrap/>
        <w:overflowPunct w:val="0"/>
        <w:topLinePunct w:val="0"/>
        <w:autoSpaceDE/>
        <w:autoSpaceDN/>
        <w:bidi w:val="0"/>
        <w:adjustRightInd/>
        <w:snapToGrid/>
        <w:spacing w:line="336"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（四）加强片区活动交流，是凝聚行业力量，提升行业认同感的重要手段。</w:t>
      </w:r>
      <w:r>
        <w:rPr>
          <w:rFonts w:hint="eastAsia" w:ascii="仿宋_GB2312" w:hAnsi="仿宋_GB2312" w:eastAsia="仿宋_GB2312" w:cs="仿宋_GB2312"/>
          <w:sz w:val="32"/>
          <w:szCs w:val="32"/>
          <w:lang w:val="en-US" w:eastAsia="zh-CN"/>
        </w:rPr>
        <w:t>协会会员分布广泛，由于地理条件原因，部分限制了协会服务工作的覆盖面。协会通过组织片区座谈会、地方协会工作交流会等方式，一定程度上弥补了协会日常服务工作的不足。同时，要进一步发挥片区召集人和副召集人的力量，更加激活片区的交流热情，营造更好的行业竞争、学习与合作氛围。</w:t>
      </w: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336"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三、2024年工作重点</w:t>
      </w:r>
    </w:p>
    <w:p>
      <w:pPr>
        <w:keepNext w:val="0"/>
        <w:keepLines w:val="0"/>
        <w:pageBreakBefore w:val="0"/>
        <w:widowControl w:val="0"/>
        <w:kinsoku/>
        <w:wordWrap/>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面对复杂的外部形势和资本市场自身发展中的问题，协会将深入贯彻中央金融工作会议和中央经济工作会议精神，认真学习习近平总书记关于金融工作的重要指示，准确把握监管工作要求和行业发展趋势，以会员发展为要，围绕辖区证券期货行业高质量发展，重点做好以下几项工作：</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（一）持续夯实行业高质量发展基础。</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努力发挥协会在充实行业主体力量方面的作用。进一步加强市场信息获取、政策宣讲、跟踪服务等工作，争取为辖区引进更多法人机构会员，壮大行业队伍。加大拟转让行业机构信息的市场搜集和推送，加强与辖区国有大型企业的沟通交流，充分挖掘和培育潜在行业机构的股东企业。</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 xml:space="preserve">积极开展证券期货经营机构高质量发展论坛、培训活动。推动辖区机构之间、辖区机构与境内外优秀行业机构之间的沟通交流，进一步推进辖区机构特色化、差异化发展。  </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积极支持证券经营机构提升财富管理能力水平。继续加大财富管理能力培训，联合广州投资顾问学院、中国证券业协会等机构举办多层次、多形式的学习交流活动。开展面向社会公众的财富管理宣传，提升投资者对财富管理的心理认知。坚持开展财富管理相关的沙龙活动。联合高校举办相关培训课程或知识宣讲活动，为行业不断储备财富管理人才。</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（二）持续引领行业高质量发展方向。</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引导证券期货经营机构积淀行业文化。准确把握中国特色金融文化“五要五不”的深刻内涵，开展形式多样的活动推进行业文化建设。借助协会成立30周年契机，举办“与会奋进30载”从业人员访谈等系列活动，弘扬行业优秀文化和先进事迹。持续做好乡村振兴工作，探索编制发布广东证券期货行业年度社会责任报告书，宣传行业良好社会形象。</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推动开展投资者合法权益保护工作。举办“一把手谈以投资者为本”系列座谈活动，访谈法人机构负责人，推进“以投资者为本”的经营理念入脑入心。联合广东证监局等单位开展“投资者保护知识大赛”。</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继续做好行业党建引领工作。联合会员以及其他相关行业协会、机构开展形式多样的党建共建活动，探索搭建会员之间、会员与其他单位之间的党建交流平台，促进行业党建与业务深度融合发展。</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（三）持续提升行业高质量发展能力。</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提升行业对热点难点问题的调研和解决能力。深入开展行业调研工作，为行业高质量发展献计献策。依托高质量发展委员会，深入开展行业调研。重点关注量化交易风险防范、ETF基金发展趋势、投行业务差异化发展、中长期资金入市的制度优化、证券公司分支机构现状与变革等问题。</w:t>
      </w:r>
      <w:r>
        <w:rPr>
          <w:rFonts w:hint="eastAsia" w:ascii="仿宋" w:hAnsi="仿宋" w:eastAsia="仿宋" w:cs="仿宋"/>
          <w:b w:val="0"/>
          <w:bCs w:val="0"/>
          <w:sz w:val="32"/>
          <w:szCs w:val="32"/>
          <w:lang w:val="en-US" w:eastAsia="zh-CN"/>
        </w:rPr>
        <w:t>依托期货委员会、资本市场专家库和其他社会力量，开展</w:t>
      </w:r>
      <w:r>
        <w:rPr>
          <w:rFonts w:hint="eastAsia" w:ascii="仿宋" w:hAnsi="仿宋" w:eastAsia="仿宋" w:cs="仿宋"/>
          <w:sz w:val="32"/>
          <w:szCs w:val="32"/>
          <w:lang w:val="en-US" w:eastAsia="zh-CN"/>
        </w:rPr>
        <w:t>期货市场热点问题研究工作，提供相关政策建议。重点关注期货高频量化交易、国企参与期货市场的难点、手续费收取制度等问题。</w:t>
      </w:r>
      <w:r>
        <w:rPr>
          <w:rFonts w:hint="eastAsia" w:ascii="仿宋" w:hAnsi="仿宋" w:eastAsia="仿宋" w:cs="仿宋"/>
          <w:b w:val="0"/>
          <w:bCs w:val="0"/>
          <w:sz w:val="32"/>
          <w:szCs w:val="32"/>
          <w:lang w:val="en-US" w:eastAsia="zh-CN"/>
        </w:rPr>
        <w:t>依托投资银行委员会，</w:t>
      </w:r>
      <w:r>
        <w:rPr>
          <w:rFonts w:hint="eastAsia" w:ascii="仿宋" w:hAnsi="仿宋" w:eastAsia="仿宋" w:cs="仿宋"/>
          <w:sz w:val="32"/>
          <w:szCs w:val="32"/>
          <w:lang w:val="en-US" w:eastAsia="zh-CN"/>
        </w:rPr>
        <w:t>开展上市公司并购重组发展趋势与政策建议、注册制走深走实等方面的情况调研。</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提升行业内培训资源的利用能力。</w:t>
      </w:r>
      <w:r>
        <w:rPr>
          <w:rFonts w:hint="eastAsia" w:ascii="仿宋" w:hAnsi="仿宋" w:eastAsia="仿宋" w:cs="仿宋"/>
          <w:b w:val="0"/>
          <w:bCs w:val="0"/>
          <w:sz w:val="32"/>
          <w:szCs w:val="32"/>
          <w:lang w:val="en-US" w:eastAsia="zh-CN"/>
        </w:rPr>
        <w:t>依托教育培训委员会，充分挖掘各委员所在公司的培训资源</w:t>
      </w:r>
      <w:r>
        <w:rPr>
          <w:rFonts w:hint="eastAsia" w:ascii="仿宋" w:hAnsi="仿宋" w:eastAsia="仿宋" w:cs="仿宋"/>
          <w:sz w:val="32"/>
          <w:szCs w:val="32"/>
          <w:lang w:val="en-US" w:eastAsia="zh-CN"/>
        </w:rPr>
        <w:t>，推动实现“总部资源，分支共享”，以大众培训和小众沙龙相结合的方式，加大行业间交流培训广度与力度，多频次开展学习交流，打造学习型社会组织。</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提升行业利用金融科技的能力。</w:t>
      </w:r>
      <w:r>
        <w:rPr>
          <w:rFonts w:hint="eastAsia" w:ascii="仿宋" w:hAnsi="仿宋" w:eastAsia="仿宋" w:cs="仿宋"/>
          <w:b w:val="0"/>
          <w:bCs w:val="0"/>
          <w:sz w:val="32"/>
          <w:szCs w:val="32"/>
          <w:lang w:val="en-US" w:eastAsia="zh-CN"/>
        </w:rPr>
        <w:t>依托金融科技委员会，</w:t>
      </w:r>
      <w:r>
        <w:rPr>
          <w:rFonts w:hint="eastAsia" w:ascii="仿宋" w:hAnsi="仿宋" w:eastAsia="仿宋" w:cs="仿宋"/>
          <w:sz w:val="32"/>
          <w:szCs w:val="32"/>
          <w:lang w:val="en-US" w:eastAsia="zh-CN"/>
        </w:rPr>
        <w:t>配合局相关处室做好广州市第二批金融科技试点项目的遴选工作，开展相关交流培训，促进行业数字化转型。</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提升行业利用宣传媒介的能力。组织开展微视频制作、舆情处理和舆论引导等培训。</w:t>
      </w:r>
    </w:p>
    <w:p>
      <w:pPr>
        <w:keepNext w:val="0"/>
        <w:keepLines w:val="0"/>
        <w:pageBreakBefore w:val="0"/>
        <w:widowControl w:val="0"/>
        <w:kinsoku/>
        <w:wordWrap/>
        <w:topLinePunct w:val="0"/>
        <w:autoSpaceDE/>
        <w:autoSpaceDN/>
        <w:bidi w:val="0"/>
        <w:adjustRightInd/>
        <w:snapToGrid/>
        <w:spacing w:line="336"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（四）持续为行业高质量发展提供保障</w:t>
      </w:r>
    </w:p>
    <w:p>
      <w:pPr>
        <w:keepNext w:val="0"/>
        <w:keepLines w:val="0"/>
        <w:pageBreakBefore w:val="0"/>
        <w:widowControl w:val="0"/>
        <w:numPr>
          <w:ilvl w:val="0"/>
          <w:numId w:val="0"/>
        </w:numPr>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加强协会服务能力建设。做好协会会员大会换届的组织保障工作，确保换届顺利进行，为下一届协会的行稳致远铺好道路、打好基础、指明方向。取长补短，有针对性地扩大与其他地方同行业协会的学习交流。做好《行业动态与研究》编辑工作，加大研究型稿件的征集力度。开展趣味运动会和棋牌竞技等文体活动，增进行业感情。深入开展各片区交流活动，畅通会员沟通渠道。健全协会内部监督机制，强化工作人员规范行使自律管理权力意识和廉洁从业意识，自觉接受外部监督。</w:t>
      </w:r>
    </w:p>
    <w:p>
      <w:pPr>
        <w:keepNext w:val="0"/>
        <w:keepLines w:val="0"/>
        <w:pageBreakBefore w:val="0"/>
        <w:widowControl w:val="0"/>
        <w:numPr>
          <w:ilvl w:val="0"/>
          <w:numId w:val="0"/>
        </w:numPr>
        <w:kinsoku/>
        <w:wordWrap/>
        <w:topLinePunct w:val="0"/>
        <w:autoSpaceDE/>
        <w:autoSpaceDN/>
        <w:bidi w:val="0"/>
        <w:adjustRightInd/>
        <w:snapToGrid/>
        <w:spacing w:line="336"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持续推动行业依法合规经营。做好2024年证券公司分支机构分类监管自律评价工作。在继续做好证券从业人员警示案例教育的基础上，开展期货从业人员警示案例教育工作。开展“分支机构负责人合规第一课”与“证券从业人员合规第一课”培训活动，探索建立“教科书式”自律管理模式。开展期货经营机构分类监管考核指标解读培训。依托自律监察委员会，组织合规管理工作沙龙、分类评价自律检查总结探讨与自律管理措施实施等，增强行业自我规范、自我约束。</w:t>
      </w:r>
    </w:p>
    <w:p>
      <w:pPr>
        <w:keepNext w:val="0"/>
        <w:keepLines w:val="0"/>
        <w:pageBreakBefore w:val="0"/>
        <w:widowControl w:val="0"/>
        <w:numPr>
          <w:ilvl w:val="0"/>
          <w:numId w:val="0"/>
        </w:numPr>
        <w:kinsoku/>
        <w:wordWrap/>
        <w:topLinePunct w:val="0"/>
        <w:autoSpaceDE/>
        <w:autoSpaceDN/>
        <w:bidi w:val="0"/>
        <w:adjustRightInd/>
        <w:snapToGrid/>
        <w:spacing w:line="336"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我的报告完毕，谢谢大家！</w:t>
      </w:r>
    </w:p>
    <w:p>
      <w:pPr>
        <w:keepNext w:val="0"/>
        <w:keepLines w:val="0"/>
        <w:pageBreakBefore w:val="0"/>
        <w:widowControl w:val="0"/>
        <w:kinsoku/>
        <w:wordWrap/>
        <w:topLinePunct w:val="0"/>
        <w:autoSpaceDE/>
        <w:autoSpaceDN/>
        <w:bidi w:val="0"/>
        <w:adjustRightInd/>
        <w:snapToGrid/>
        <w:spacing w:line="336" w:lineRule="auto"/>
        <w:textAlignment w:val="auto"/>
        <w:rPr>
          <w:rFonts w:hint="eastAsia" w:ascii="仿宋" w:hAnsi="仿宋" w:eastAsia="仿宋" w:cs="仿宋"/>
          <w:sz w:val="32"/>
          <w:szCs w:val="32"/>
          <w:lang w:val="en-US" w:eastAsia="zh-CN"/>
        </w:rPr>
      </w:pPr>
    </w:p>
    <w:p>
      <w:pPr>
        <w:keepNext w:val="0"/>
        <w:keepLines w:val="0"/>
        <w:pageBreakBefore w:val="0"/>
        <w:widowControl w:val="0"/>
        <w:kinsoku/>
        <w:wordWrap/>
        <w:topLinePunct w:val="0"/>
        <w:autoSpaceDE/>
        <w:autoSpaceDN/>
        <w:bidi w:val="0"/>
        <w:adjustRightInd/>
        <w:snapToGrid/>
        <w:spacing w:line="336" w:lineRule="auto"/>
        <w:textAlignment w:val="auto"/>
        <w:rPr>
          <w:rFonts w:hint="default" w:ascii="仿宋" w:hAnsi="仿宋" w:eastAsia="仿宋" w:cs="仿宋"/>
          <w:sz w:val="32"/>
          <w:szCs w:val="32"/>
          <w:lang w:val="en-US" w:eastAsia="zh-CN"/>
        </w:rPr>
      </w:pPr>
    </w:p>
    <w:p>
      <w:pPr>
        <w:keepNext w:val="0"/>
        <w:keepLines w:val="0"/>
        <w:pageBreakBefore w:val="0"/>
        <w:widowControl w:val="0"/>
        <w:kinsoku/>
        <w:wordWrap/>
        <w:topLinePunct w:val="0"/>
        <w:autoSpaceDE/>
        <w:autoSpaceDN/>
        <w:bidi w:val="0"/>
        <w:adjustRightInd/>
        <w:snapToGrid/>
        <w:spacing w:line="336" w:lineRule="auto"/>
        <w:textAlignment w:val="auto"/>
      </w:pPr>
    </w:p>
    <w:sectPr>
      <w:footerReference r:id="rId3" w:type="default"/>
      <w:pgSz w:w="11906" w:h="16838"/>
      <w:pgMar w:top="2098" w:right="1474" w:bottom="1984" w:left="1587" w:header="851" w:footer="1587"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TJkODlkODI0YWU0ZDU0ZWQ2NWZkNzY4N2JkMWUifQ=="/>
  </w:docVars>
  <w:rsids>
    <w:rsidRoot w:val="00000000"/>
    <w:rsid w:val="004F0C91"/>
    <w:rsid w:val="02A7799F"/>
    <w:rsid w:val="02F96864"/>
    <w:rsid w:val="03043FD3"/>
    <w:rsid w:val="042558A4"/>
    <w:rsid w:val="04C071D5"/>
    <w:rsid w:val="04D70A33"/>
    <w:rsid w:val="053B7608"/>
    <w:rsid w:val="063636FE"/>
    <w:rsid w:val="063D515E"/>
    <w:rsid w:val="075B66DD"/>
    <w:rsid w:val="07B15DE7"/>
    <w:rsid w:val="09841782"/>
    <w:rsid w:val="09E300E2"/>
    <w:rsid w:val="0CB64B1C"/>
    <w:rsid w:val="0E35558F"/>
    <w:rsid w:val="0E3C4DB9"/>
    <w:rsid w:val="11020E03"/>
    <w:rsid w:val="128448D5"/>
    <w:rsid w:val="14C26DEA"/>
    <w:rsid w:val="156E6E68"/>
    <w:rsid w:val="157A2AC8"/>
    <w:rsid w:val="16205EA3"/>
    <w:rsid w:val="16E10D2D"/>
    <w:rsid w:val="172779EC"/>
    <w:rsid w:val="177C7031"/>
    <w:rsid w:val="17F45DB0"/>
    <w:rsid w:val="1A00289F"/>
    <w:rsid w:val="1A142C09"/>
    <w:rsid w:val="1B8D5C17"/>
    <w:rsid w:val="1C915908"/>
    <w:rsid w:val="1D7C2A71"/>
    <w:rsid w:val="1F5C0367"/>
    <w:rsid w:val="1FBB33C8"/>
    <w:rsid w:val="20750064"/>
    <w:rsid w:val="22481880"/>
    <w:rsid w:val="23977CA8"/>
    <w:rsid w:val="239A0867"/>
    <w:rsid w:val="26655D23"/>
    <w:rsid w:val="27951673"/>
    <w:rsid w:val="286133E5"/>
    <w:rsid w:val="295948EA"/>
    <w:rsid w:val="2A9B1BFF"/>
    <w:rsid w:val="2B6463BE"/>
    <w:rsid w:val="2C6721E1"/>
    <w:rsid w:val="2CC322AB"/>
    <w:rsid w:val="2E442CAE"/>
    <w:rsid w:val="2F395009"/>
    <w:rsid w:val="301A6ED0"/>
    <w:rsid w:val="312468F3"/>
    <w:rsid w:val="31501496"/>
    <w:rsid w:val="32645680"/>
    <w:rsid w:val="3361074F"/>
    <w:rsid w:val="337F6D51"/>
    <w:rsid w:val="348414D3"/>
    <w:rsid w:val="35030D96"/>
    <w:rsid w:val="36A077A7"/>
    <w:rsid w:val="36E45EE0"/>
    <w:rsid w:val="380B6117"/>
    <w:rsid w:val="385F5C69"/>
    <w:rsid w:val="39103A72"/>
    <w:rsid w:val="392D6450"/>
    <w:rsid w:val="395B53C9"/>
    <w:rsid w:val="39946E50"/>
    <w:rsid w:val="3A496546"/>
    <w:rsid w:val="3B376BC8"/>
    <w:rsid w:val="3CA66768"/>
    <w:rsid w:val="3CB517C9"/>
    <w:rsid w:val="3D456657"/>
    <w:rsid w:val="3DB51F70"/>
    <w:rsid w:val="3E1660C2"/>
    <w:rsid w:val="3E344E64"/>
    <w:rsid w:val="3E3A7756"/>
    <w:rsid w:val="3E916FDE"/>
    <w:rsid w:val="3F213573"/>
    <w:rsid w:val="4041301D"/>
    <w:rsid w:val="41A9414C"/>
    <w:rsid w:val="424E0403"/>
    <w:rsid w:val="435C016E"/>
    <w:rsid w:val="44351F1F"/>
    <w:rsid w:val="44740F36"/>
    <w:rsid w:val="451A1056"/>
    <w:rsid w:val="45C86585"/>
    <w:rsid w:val="45E06994"/>
    <w:rsid w:val="461A1E2D"/>
    <w:rsid w:val="462A0D32"/>
    <w:rsid w:val="46D976A0"/>
    <w:rsid w:val="46FC7AF4"/>
    <w:rsid w:val="481467E7"/>
    <w:rsid w:val="48484DAE"/>
    <w:rsid w:val="48743864"/>
    <w:rsid w:val="494C55C3"/>
    <w:rsid w:val="498119B7"/>
    <w:rsid w:val="49BE748D"/>
    <w:rsid w:val="4B125CE2"/>
    <w:rsid w:val="4DA3038B"/>
    <w:rsid w:val="4DDD7D19"/>
    <w:rsid w:val="50E013A8"/>
    <w:rsid w:val="52D36AFD"/>
    <w:rsid w:val="53365AE1"/>
    <w:rsid w:val="53767E30"/>
    <w:rsid w:val="54572586"/>
    <w:rsid w:val="551774F7"/>
    <w:rsid w:val="551918FF"/>
    <w:rsid w:val="552C1E9E"/>
    <w:rsid w:val="56F01A07"/>
    <w:rsid w:val="573335C8"/>
    <w:rsid w:val="574C49ED"/>
    <w:rsid w:val="579249D9"/>
    <w:rsid w:val="5898534D"/>
    <w:rsid w:val="590F1AB3"/>
    <w:rsid w:val="5A273B88"/>
    <w:rsid w:val="5B910ABC"/>
    <w:rsid w:val="5BF07D28"/>
    <w:rsid w:val="5E3414A7"/>
    <w:rsid w:val="5E8E67AF"/>
    <w:rsid w:val="5EC01025"/>
    <w:rsid w:val="611870AC"/>
    <w:rsid w:val="61BF1A69"/>
    <w:rsid w:val="62630877"/>
    <w:rsid w:val="628C5CC7"/>
    <w:rsid w:val="64AF65BF"/>
    <w:rsid w:val="66170D78"/>
    <w:rsid w:val="66BB0390"/>
    <w:rsid w:val="68670357"/>
    <w:rsid w:val="6A1A13F7"/>
    <w:rsid w:val="6A5A4448"/>
    <w:rsid w:val="6BCB0AB1"/>
    <w:rsid w:val="6DB06DC5"/>
    <w:rsid w:val="6E5757C4"/>
    <w:rsid w:val="6E7F4B8D"/>
    <w:rsid w:val="6E8E3022"/>
    <w:rsid w:val="6EA01450"/>
    <w:rsid w:val="70FE239F"/>
    <w:rsid w:val="7183246E"/>
    <w:rsid w:val="71FE04BF"/>
    <w:rsid w:val="722E5CA3"/>
    <w:rsid w:val="72734A0C"/>
    <w:rsid w:val="736E4DCA"/>
    <w:rsid w:val="751F0F5D"/>
    <w:rsid w:val="75501031"/>
    <w:rsid w:val="75605D9D"/>
    <w:rsid w:val="759D7015"/>
    <w:rsid w:val="77CF00BA"/>
    <w:rsid w:val="78291170"/>
    <w:rsid w:val="78560313"/>
    <w:rsid w:val="7A4371CD"/>
    <w:rsid w:val="7C6C58C7"/>
    <w:rsid w:val="7DED063B"/>
    <w:rsid w:val="7F241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suppressAutoHyphens/>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7274</Words>
  <Characters>7386</Characters>
  <Lines>0</Lines>
  <Paragraphs>0</Paragraphs>
  <TotalTime>2</TotalTime>
  <ScaleCrop>false</ScaleCrop>
  <LinksUpToDate>false</LinksUpToDate>
  <CharactersWithSpaces>7390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2024-02-18T09:09:00Z</dcterms:created>
  <dc:creator>Administrator</dc:creator>
  <cp:lastModifiedBy>文秘人员</cp:lastModifiedBy>
  <dcterms:modified xsi:type="dcterms:W3CDTF">2024-04-08T13:06:49Z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66BB3AF0E10A4FEA9BFB4949058BE0DF_12</vt:lpwstr>
  </property>
</Properties>
</file>