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336"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广东证券期货业协会2022年工作报告</w:t>
      </w:r>
    </w:p>
    <w:p>
      <w:pPr>
        <w:keepNext w:val="0"/>
        <w:keepLines w:val="0"/>
        <w:pageBreakBefore w:val="0"/>
        <w:kinsoku/>
        <w:wordWrap/>
        <w:topLinePunct w:val="0"/>
        <w:bidi w:val="0"/>
        <w:spacing w:line="336" w:lineRule="auto"/>
        <w:jc w:val="center"/>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（经协会第七届理事会第十一次会议审议通过）</w:t>
      </w:r>
    </w:p>
    <w:p>
      <w:pPr>
        <w:keepNext w:val="0"/>
        <w:keepLines w:val="0"/>
        <w:pageBreakBefore w:val="0"/>
        <w:kinsoku/>
        <w:wordWrap/>
        <w:topLinePunct w:val="0"/>
        <w:bidi w:val="0"/>
        <w:spacing w:line="336" w:lineRule="auto"/>
        <w:ind w:firstLine="640"/>
        <w:textAlignment w:val="auto"/>
        <w:rPr>
          <w:rFonts w:hint="eastAsia" w:ascii="仿宋_GB2312" w:hAnsi="仿宋" w:eastAsia="仿宋_GB2312"/>
          <w:sz w:val="32"/>
          <w:szCs w:val="32"/>
        </w:rPr>
      </w:pPr>
    </w:p>
    <w:p>
      <w:pPr>
        <w:keepNext w:val="0"/>
        <w:keepLines w:val="0"/>
        <w:pageBreakBefore w:val="0"/>
        <w:kinsoku/>
        <w:wordWrap/>
        <w:topLinePunct w:val="0"/>
        <w:bidi w:val="0"/>
        <w:spacing w:line="336" w:lineRule="auto"/>
        <w:ind w:firstLine="64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2</w:t>
      </w:r>
      <w:r>
        <w:rPr>
          <w:rFonts w:ascii="仿宋_GB2312" w:hAnsi="仿宋" w:eastAsia="仿宋_GB2312"/>
          <w:sz w:val="32"/>
          <w:szCs w:val="32"/>
        </w:rPr>
        <w:t>02</w:t>
      </w:r>
      <w:r>
        <w:rPr>
          <w:rFonts w:hint="eastAsia" w:ascii="仿宋_GB2312" w:hAnsi="仿宋" w:eastAsia="仿宋_GB2312"/>
          <w:sz w:val="32"/>
          <w:szCs w:val="32"/>
        </w:rPr>
        <w:t>2年，协会坚持贯彻习近平新时代中国特色社会主义思想，深入学习领悟党的二十大会议精神</w:t>
      </w:r>
      <w:r>
        <w:rPr>
          <w:rFonts w:hint="eastAsia" w:ascii="仿宋_GB2312" w:hAnsi="仿宋" w:eastAsia="仿宋_GB2312"/>
          <w:sz w:val="32"/>
          <w:szCs w:val="32"/>
          <w:lang w:eastAsia="zh-CN"/>
        </w:rPr>
        <w:t>，</w:t>
      </w:r>
      <w:r>
        <w:rPr>
          <w:rFonts w:hint="eastAsia" w:ascii="仿宋_GB2312" w:hAnsi="仿宋" w:eastAsia="仿宋_GB2312"/>
          <w:sz w:val="32"/>
          <w:szCs w:val="32"/>
        </w:rPr>
        <w:t>在广东证监局的悉心指导下，紧紧围绕“自律、服务、传导”的职能定位，认真开展和落实了以下工作</w:t>
      </w:r>
      <w:r>
        <w:rPr>
          <w:rFonts w:hint="eastAsia" w:ascii="仿宋_GB2312" w:hAnsi="仿宋" w:eastAsia="仿宋_GB2312"/>
          <w:color w:val="000000" w:themeColor="text1"/>
          <w:sz w:val="32"/>
          <w:szCs w:val="32"/>
          <w14:textFill>
            <w14:solidFill>
              <w14:schemeClr w14:val="tx1"/>
            </w14:solidFill>
          </w14:textFill>
        </w:rPr>
        <w:t>：</w:t>
      </w:r>
    </w:p>
    <w:p>
      <w:pPr>
        <w:keepNext w:val="0"/>
        <w:keepLines w:val="0"/>
        <w:pageBreakBefore w:val="0"/>
        <w:kinsoku/>
        <w:wordWrap/>
        <w:topLinePunct w:val="0"/>
        <w:bidi w:val="0"/>
        <w:spacing w:line="336" w:lineRule="auto"/>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一、坚持党建引领，擦亮行业高质量发展底色</w:t>
      </w:r>
    </w:p>
    <w:p>
      <w:pPr>
        <w:keepNext w:val="0"/>
        <w:keepLines w:val="0"/>
        <w:pageBreakBefore w:val="0"/>
        <w:kinsoku/>
        <w:wordWrap/>
        <w:topLinePunct w:val="0"/>
        <w:bidi w:val="0"/>
        <w:spacing w:line="336" w:lineRule="auto"/>
        <w:ind w:firstLine="640" w:firstLineChars="200"/>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协会始终坚持党建工作的核心引领作用，守住行业的政治属性和人民立场</w:t>
      </w:r>
      <w:r>
        <w:rPr>
          <w:rFonts w:hint="eastAsia" w:ascii="仿宋_GB2312" w:hAnsi="仿宋" w:eastAsia="仿宋_GB2312"/>
          <w:color w:val="000000"/>
          <w:sz w:val="32"/>
          <w:szCs w:val="32"/>
          <w:lang w:eastAsia="zh-CN"/>
        </w:rPr>
        <w:t>，</w:t>
      </w:r>
      <w:r>
        <w:rPr>
          <w:rFonts w:ascii="仿宋_GB2312" w:hAnsi="仿宋" w:eastAsia="仿宋_GB2312"/>
          <w:bCs/>
          <w:color w:val="000000" w:themeColor="text1"/>
          <w:sz w:val="32"/>
          <w:szCs w:val="32"/>
          <w14:textFill>
            <w14:solidFill>
              <w14:schemeClr w14:val="tx1"/>
            </w14:solidFill>
          </w14:textFill>
        </w:rPr>
        <w:t>通过主动加强党支部政治建设，持续推进党建与业务贯通融合，</w:t>
      </w:r>
      <w:r>
        <w:rPr>
          <w:rFonts w:hint="eastAsia" w:ascii="仿宋_GB2312" w:hAnsi="仿宋" w:eastAsia="仿宋_GB2312"/>
          <w:color w:val="000000"/>
          <w:sz w:val="32"/>
          <w:szCs w:val="32"/>
        </w:rPr>
        <w:t>筑牢政治忠诚、</w:t>
      </w:r>
      <w:r>
        <w:rPr>
          <w:rFonts w:hint="eastAsia" w:ascii="仿宋_GB2312" w:hAnsi="仿宋" w:eastAsia="仿宋_GB2312"/>
          <w:sz w:val="32"/>
          <w:szCs w:val="32"/>
        </w:rPr>
        <w:t>提高政治站位、夯实</w:t>
      </w:r>
      <w:r>
        <w:rPr>
          <w:rFonts w:hint="eastAsia" w:ascii="仿宋_GB2312" w:hAnsi="仿宋" w:eastAsia="仿宋_GB2312"/>
          <w:color w:val="000000"/>
          <w:sz w:val="32"/>
          <w:szCs w:val="32"/>
        </w:rPr>
        <w:t>战斗堡垒，</w:t>
      </w:r>
      <w:r>
        <w:rPr>
          <w:rFonts w:ascii="仿宋_GB2312" w:hAnsi="仿宋" w:eastAsia="仿宋_GB2312"/>
          <w:bCs/>
          <w:color w:val="000000" w:themeColor="text1"/>
          <w:sz w:val="32"/>
          <w:szCs w:val="32"/>
          <w14:textFill>
            <w14:solidFill>
              <w14:schemeClr w14:val="tx1"/>
            </w14:solidFill>
          </w14:textFill>
        </w:rPr>
        <w:t>实现党建与业务两手抓、两促进、两提高</w:t>
      </w:r>
      <w:r>
        <w:rPr>
          <w:rFonts w:hint="eastAsia" w:ascii="仿宋_GB2312" w:hAnsi="仿宋" w:eastAsia="仿宋_GB2312"/>
          <w:color w:val="000000"/>
          <w:sz w:val="32"/>
          <w:szCs w:val="32"/>
        </w:rPr>
        <w:t>。</w:t>
      </w:r>
      <w:r>
        <w:rPr>
          <w:rFonts w:hint="eastAsia" w:ascii="仿宋_GB2312" w:hAnsi="仿宋" w:eastAsia="仿宋_GB2312"/>
          <w:b/>
          <w:bCs/>
          <w:color w:val="000000"/>
          <w:sz w:val="32"/>
          <w:szCs w:val="32"/>
        </w:rPr>
        <w:t>一是</w:t>
      </w:r>
      <w:r>
        <w:rPr>
          <w:rFonts w:hint="eastAsia" w:ascii="仿宋_GB2312" w:hAnsi="仿宋" w:eastAsia="仿宋_GB2312"/>
          <w:color w:val="000000"/>
          <w:sz w:val="32"/>
          <w:szCs w:val="32"/>
        </w:rPr>
        <w:t>深入学习</w:t>
      </w:r>
      <w:r>
        <w:rPr>
          <w:rFonts w:hint="eastAsia" w:ascii="仿宋_GB2312" w:hAnsi="仿宋" w:eastAsia="仿宋_GB2312"/>
          <w:color w:val="000000"/>
          <w:sz w:val="32"/>
          <w:szCs w:val="32"/>
          <w:lang w:val="en-US" w:eastAsia="zh-CN"/>
        </w:rPr>
        <w:t>贯彻</w:t>
      </w:r>
      <w:r>
        <w:rPr>
          <w:rFonts w:hint="eastAsia" w:ascii="仿宋_GB2312" w:hAnsi="仿宋" w:eastAsia="仿宋_GB2312"/>
          <w:color w:val="000000"/>
          <w:sz w:val="32"/>
          <w:szCs w:val="32"/>
        </w:rPr>
        <w:t>党的二十大精神。协会组织全体工作人员实时收听收看党的二十大开幕式，以学原文、读原著、谈体会等方式学习党的二十大精神</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结合协会工作开展中国特色现代资本市场发展之路大讨论，</w:t>
      </w:r>
      <w:r>
        <w:rPr>
          <w:rFonts w:hint="eastAsia" w:ascii="仿宋_GB2312" w:hAnsi="仿宋" w:eastAsia="仿宋_GB2312"/>
          <w:color w:val="000000"/>
          <w:sz w:val="32"/>
          <w:szCs w:val="32"/>
        </w:rPr>
        <w:t>同时</w:t>
      </w:r>
      <w:r>
        <w:rPr>
          <w:rFonts w:hint="eastAsia" w:ascii="仿宋_GB2312" w:hAnsi="仿宋_GB2312" w:eastAsia="仿宋_GB2312"/>
          <w:sz w:val="32"/>
          <w:szCs w:val="32"/>
        </w:rPr>
        <w:t>征集会员单位学习贯彻党的二十大精神的情况</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开展</w:t>
      </w:r>
      <w:r>
        <w:rPr>
          <w:rFonts w:hint="eastAsia" w:ascii="仿宋_GB2312" w:hAnsi="仿宋_GB2312" w:eastAsia="仿宋_GB2312"/>
          <w:sz w:val="32"/>
          <w:szCs w:val="32"/>
        </w:rPr>
        <w:t>宣传</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交流，营造良好的氛围。</w:t>
      </w:r>
      <w:r>
        <w:rPr>
          <w:rFonts w:hint="eastAsia" w:ascii="仿宋_GB2312" w:hAnsi="仿宋_GB2312" w:eastAsia="仿宋_GB2312"/>
          <w:b/>
          <w:bCs/>
          <w:sz w:val="32"/>
          <w:szCs w:val="32"/>
          <w:lang w:val="en-US" w:eastAsia="zh-CN"/>
        </w:rPr>
        <w:t>二</w:t>
      </w:r>
      <w:r>
        <w:rPr>
          <w:rFonts w:hint="eastAsia" w:ascii="仿宋_GB2312" w:hAnsi="仿宋" w:eastAsia="仿宋_GB2312"/>
          <w:b/>
          <w:bCs/>
          <w:color w:val="000000"/>
          <w:sz w:val="32"/>
          <w:szCs w:val="32"/>
        </w:rPr>
        <w:t>是</w:t>
      </w:r>
      <w:r>
        <w:rPr>
          <w:rFonts w:ascii="仿宋_GB2312" w:hAnsi="仿宋_GB2312" w:eastAsia="仿宋_GB2312"/>
          <w:sz w:val="32"/>
          <w:szCs w:val="32"/>
        </w:rPr>
        <w:t>加强党支部建设规范化</w:t>
      </w:r>
      <w:r>
        <w:rPr>
          <w:rFonts w:hint="eastAsia" w:ascii="仿宋_GB2312" w:hAnsi="仿宋_GB2312" w:eastAsia="仿宋_GB2312"/>
          <w:sz w:val="32"/>
          <w:szCs w:val="32"/>
        </w:rPr>
        <w:t>。</w:t>
      </w:r>
      <w:r>
        <w:rPr>
          <w:rFonts w:hint="eastAsia" w:ascii="仿宋_GB2312" w:hAnsi="仿宋" w:eastAsia="仿宋_GB2312"/>
          <w:color w:val="000000"/>
          <w:sz w:val="32"/>
          <w:szCs w:val="32"/>
        </w:rPr>
        <w:t>认真开展支部组织生活会和民主评议党员，</w:t>
      </w:r>
      <w:r>
        <w:rPr>
          <w:rFonts w:hint="eastAsia" w:ascii="仿宋_GB2312" w:hAnsi="仿宋" w:eastAsia="仿宋_GB2312"/>
          <w:color w:val="000000"/>
          <w:sz w:val="32"/>
          <w:szCs w:val="32"/>
          <w:lang w:val="en-US" w:eastAsia="zh-CN"/>
        </w:rPr>
        <w:t>组织理论学习12次</w:t>
      </w:r>
      <w:r>
        <w:rPr>
          <w:rFonts w:hint="eastAsia" w:ascii="仿宋_GB2312" w:hAnsi="仿宋_GB2312" w:eastAsia="仿宋_GB2312"/>
          <w:sz w:val="32"/>
          <w:szCs w:val="32"/>
        </w:rPr>
        <w:t>。</w:t>
      </w:r>
      <w:r>
        <w:rPr>
          <w:rFonts w:ascii="仿宋_GB2312" w:hAnsi="仿宋_GB2312" w:eastAsia="仿宋_GB2312"/>
          <w:sz w:val="32"/>
          <w:szCs w:val="32"/>
        </w:rPr>
        <w:t>根据局党委关于党支部规范化专项检查相关要求，整理党支部历年工作记录、会议记录等资料，并按</w:t>
      </w:r>
      <w:r>
        <w:rPr>
          <w:rFonts w:hint="eastAsia" w:ascii="仿宋_GB2312" w:hAnsi="仿宋_GB2312" w:eastAsia="仿宋_GB2312"/>
          <w:sz w:val="32"/>
          <w:szCs w:val="32"/>
        </w:rPr>
        <w:t>规定优化党支部</w:t>
      </w:r>
      <w:r>
        <w:rPr>
          <w:rFonts w:ascii="仿宋_GB2312" w:hAnsi="仿宋_GB2312" w:eastAsia="仿宋_GB2312"/>
          <w:sz w:val="32"/>
          <w:szCs w:val="32"/>
        </w:rPr>
        <w:t>会议</w:t>
      </w:r>
      <w:r>
        <w:rPr>
          <w:rFonts w:hint="eastAsia" w:ascii="仿宋_GB2312" w:hAnsi="仿宋_GB2312" w:eastAsia="仿宋_GB2312"/>
          <w:sz w:val="32"/>
          <w:szCs w:val="32"/>
        </w:rPr>
        <w:t>记录存档工作。</w:t>
      </w:r>
      <w:r>
        <w:rPr>
          <w:rFonts w:hint="eastAsia" w:ascii="仿宋_GB2312" w:hAnsi="仿宋" w:eastAsia="仿宋_GB2312"/>
          <w:b/>
          <w:bCs/>
          <w:color w:val="000000"/>
          <w:sz w:val="32"/>
          <w:szCs w:val="32"/>
          <w:lang w:val="en-US" w:eastAsia="zh-CN"/>
        </w:rPr>
        <w:t>三</w:t>
      </w:r>
      <w:r>
        <w:rPr>
          <w:rFonts w:hint="eastAsia" w:ascii="仿宋_GB2312" w:hAnsi="仿宋" w:eastAsia="仿宋_GB2312"/>
          <w:b/>
          <w:bCs/>
          <w:color w:val="000000"/>
          <w:sz w:val="32"/>
          <w:szCs w:val="32"/>
        </w:rPr>
        <w:t>是</w:t>
      </w:r>
      <w:r>
        <w:rPr>
          <w:rFonts w:hint="eastAsia" w:ascii="仿宋_GB2312" w:hAnsi="仿宋_GB2312" w:eastAsia="仿宋_GB2312"/>
          <w:sz w:val="32"/>
          <w:szCs w:val="32"/>
        </w:rPr>
        <w:t>组织</w:t>
      </w:r>
      <w:r>
        <w:rPr>
          <w:rFonts w:hint="eastAsia" w:ascii="仿宋_GB2312" w:hAnsi="仿宋_GB2312" w:eastAsia="仿宋_GB2312"/>
          <w:sz w:val="32"/>
          <w:szCs w:val="32"/>
          <w:lang w:val="en-US" w:eastAsia="zh-CN"/>
        </w:rPr>
        <w:t>内容丰富的</w:t>
      </w:r>
      <w:r>
        <w:rPr>
          <w:rFonts w:hint="eastAsia" w:ascii="仿宋_GB2312" w:hAnsi="仿宋_GB2312" w:eastAsia="仿宋_GB2312"/>
          <w:sz w:val="32"/>
          <w:szCs w:val="32"/>
        </w:rPr>
        <w:t>党日活动。赴湖南郴州参观湘南起义纪念馆、郴州市烈士公园、沙洲村等革命圣地，进一步深化党支部</w:t>
      </w:r>
      <w:r>
        <w:rPr>
          <w:rFonts w:hint="eastAsia" w:ascii="仿宋_GB2312" w:hAnsi="仿宋_GB2312" w:eastAsia="仿宋_GB2312"/>
          <w:sz w:val="32"/>
          <w:szCs w:val="32"/>
          <w:lang w:eastAsia="zh-CN"/>
        </w:rPr>
        <w:t>党史学习教育；</w:t>
      </w:r>
      <w:r>
        <w:rPr>
          <w:rFonts w:hint="eastAsia" w:ascii="仿宋_GB2312" w:hAnsi="仿宋_GB2312" w:eastAsia="仿宋_GB2312"/>
          <w:sz w:val="32"/>
          <w:szCs w:val="32"/>
        </w:rPr>
        <w:t>先后与</w:t>
      </w:r>
      <w:r>
        <w:rPr>
          <w:rFonts w:hint="eastAsia" w:ascii="仿宋_GB2312" w:hAnsi="仿宋_GB2312" w:eastAsia="仿宋_GB2312"/>
          <w:sz w:val="32"/>
          <w:szCs w:val="32"/>
          <w:lang w:val="en-US" w:eastAsia="zh-CN"/>
        </w:rPr>
        <w:t>多家会员单位</w:t>
      </w:r>
      <w:r>
        <w:rPr>
          <w:rFonts w:hint="eastAsia" w:ascii="仿宋_GB2312" w:hAnsi="仿宋_GB2312" w:eastAsia="仿宋_GB2312"/>
          <w:sz w:val="32"/>
          <w:szCs w:val="32"/>
        </w:rPr>
        <w:t>开展党支部联学</w:t>
      </w:r>
      <w:r>
        <w:rPr>
          <w:rFonts w:ascii="仿宋_GB2312" w:hAnsi="仿宋_GB2312" w:eastAsia="仿宋_GB2312"/>
          <w:sz w:val="32"/>
          <w:szCs w:val="32"/>
        </w:rPr>
        <w:t>共建活动</w:t>
      </w:r>
      <w:r>
        <w:rPr>
          <w:rFonts w:hint="eastAsia" w:ascii="仿宋_GB2312" w:hAnsi="仿宋_GB2312" w:eastAsia="仿宋_GB2312"/>
          <w:sz w:val="32"/>
          <w:szCs w:val="32"/>
        </w:rPr>
        <w:t>，全方位、深层次交流党建工作，强化互联共通，搭建行业党建沟通学习大平台。</w:t>
      </w:r>
    </w:p>
    <w:p>
      <w:pPr>
        <w:keepNext w:val="0"/>
        <w:keepLines w:val="0"/>
        <w:pageBreakBefore w:val="0"/>
        <w:kinsoku/>
        <w:wordWrap/>
        <w:topLinePunct w:val="0"/>
        <w:bidi w:val="0"/>
        <w:spacing w:line="336" w:lineRule="auto"/>
        <w:ind w:firstLine="640"/>
        <w:textAlignment w:val="auto"/>
        <w:rPr>
          <w:rFonts w:ascii="黑体" w:hAnsi="黑体" w:eastAsia="黑体"/>
          <w:sz w:val="32"/>
          <w:szCs w:val="32"/>
        </w:rPr>
      </w:pPr>
      <w:r>
        <w:rPr>
          <w:rFonts w:hint="eastAsia" w:ascii="黑体" w:hAnsi="黑体" w:eastAsia="黑体"/>
          <w:sz w:val="32"/>
          <w:szCs w:val="32"/>
        </w:rPr>
        <w:t>二、坚持自律检查与合规宣导并重，着力强化行业自我规范意识</w:t>
      </w:r>
    </w:p>
    <w:p>
      <w:pPr>
        <w:keepNext w:val="0"/>
        <w:keepLines w:val="0"/>
        <w:pageBreakBefore w:val="0"/>
        <w:kinsoku/>
        <w:wordWrap/>
        <w:overflowPunct w:val="0"/>
        <w:topLinePunct w:val="0"/>
        <w:bidi w:val="0"/>
        <w:spacing w:line="336" w:lineRule="auto"/>
        <w:ind w:firstLine="643"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一是</w:t>
      </w:r>
      <w:r>
        <w:rPr>
          <w:rFonts w:hint="eastAsia" w:ascii="仿宋_GB2312" w:hAnsi="仿宋" w:eastAsia="仿宋_GB2312"/>
          <w:color w:val="000000" w:themeColor="text1"/>
          <w:sz w:val="32"/>
          <w:szCs w:val="32"/>
          <w14:textFill>
            <w14:solidFill>
              <w14:schemeClr w14:val="tx1"/>
            </w14:solidFill>
          </w14:textFill>
        </w:rPr>
        <w:t>做好行业自律检查工作。</w:t>
      </w:r>
      <w:r>
        <w:rPr>
          <w:rFonts w:ascii="仿宋_GB2312" w:hAnsi="仿宋_GB2312" w:eastAsia="仿宋_GB2312"/>
          <w:sz w:val="32"/>
          <w:szCs w:val="32"/>
        </w:rPr>
        <w:t>结合2021年检查、整改情况和证券公司分支机构的投诉情况等因素，在</w:t>
      </w:r>
      <w:r>
        <w:rPr>
          <w:rFonts w:hint="eastAsia" w:ascii="仿宋_GB2312" w:hAnsi="仿宋_GB2312" w:eastAsia="仿宋_GB2312"/>
          <w:sz w:val="32"/>
          <w:szCs w:val="32"/>
        </w:rPr>
        <w:t>广东证监局</w:t>
      </w:r>
      <w:r>
        <w:rPr>
          <w:rFonts w:ascii="仿宋_GB2312" w:hAnsi="仿宋_GB2312" w:eastAsia="仿宋_GB2312"/>
          <w:sz w:val="32"/>
          <w:szCs w:val="32"/>
        </w:rPr>
        <w:t>监管平台完成对辖区1090家证券公司分支机构的自律评分工作，并对</w:t>
      </w:r>
      <w:r>
        <w:rPr>
          <w:rFonts w:hint="eastAsia" w:ascii="仿宋_GB2312" w:hAnsi="仿宋_GB2312" w:eastAsia="仿宋_GB2312"/>
          <w:sz w:val="32"/>
          <w:szCs w:val="32"/>
        </w:rPr>
        <w:t>20</w:t>
      </w:r>
      <w:r>
        <w:rPr>
          <w:rFonts w:ascii="仿宋_GB2312" w:hAnsi="仿宋_GB2312" w:eastAsia="仿宋_GB2312"/>
          <w:sz w:val="32"/>
          <w:szCs w:val="32"/>
        </w:rPr>
        <w:t>家证券公司分支机构开展了现场检查</w:t>
      </w:r>
      <w:r>
        <w:rPr>
          <w:rFonts w:hint="eastAsia" w:ascii="仿宋_GB2312" w:hAnsi="仿宋_GB2312" w:eastAsia="仿宋_GB2312"/>
          <w:sz w:val="32"/>
          <w:szCs w:val="32"/>
        </w:rPr>
        <w:t>工作，同时</w:t>
      </w:r>
      <w:r>
        <w:rPr>
          <w:rFonts w:hint="eastAsia" w:ascii="仿宋_GB2312" w:hAnsi="仿宋" w:eastAsia="仿宋_GB2312"/>
          <w:color w:val="000000" w:themeColor="text1"/>
          <w:sz w:val="32"/>
          <w:szCs w:val="32"/>
          <w14:textFill>
            <w14:solidFill>
              <w14:schemeClr w14:val="tx1"/>
            </w14:solidFill>
          </w14:textFill>
        </w:rPr>
        <w:t>将检查中发现的主要问题、总结的经验做法、提出的政策建议以专项报告形式报送广东证监局和推送辖区业内分享学习</w:t>
      </w:r>
      <w:r>
        <w:rPr>
          <w:rFonts w:hint="eastAsia" w:ascii="仿宋_GB2312" w:hAnsi="仿宋_GB2312" w:eastAsia="仿宋_GB2312"/>
          <w:sz w:val="32"/>
          <w:szCs w:val="32"/>
        </w:rPr>
        <w:t>。</w:t>
      </w:r>
      <w:r>
        <w:rPr>
          <w:rFonts w:hint="eastAsia" w:ascii="仿宋_GB2312" w:hAnsi="楷体" w:eastAsia="仿宋_GB2312"/>
          <w:b/>
          <w:sz w:val="32"/>
          <w:szCs w:val="32"/>
          <w:lang w:val="en-US" w:eastAsia="zh-CN"/>
        </w:rPr>
        <w:t>二</w:t>
      </w:r>
      <w:r>
        <w:rPr>
          <w:rFonts w:hint="eastAsia" w:ascii="仿宋_GB2312" w:hAnsi="楷体" w:eastAsia="仿宋_GB2312"/>
          <w:b/>
          <w:color w:val="000000" w:themeColor="text1"/>
          <w:sz w:val="32"/>
          <w:szCs w:val="32"/>
          <w14:textFill>
            <w14:solidFill>
              <w14:schemeClr w14:val="tx1"/>
            </w14:solidFill>
          </w14:textFill>
        </w:rPr>
        <w:t>是</w:t>
      </w:r>
      <w:r>
        <w:rPr>
          <w:rFonts w:hint="eastAsia" w:ascii="仿宋_GB2312" w:hAnsi="楷体" w:eastAsia="仿宋_GB2312"/>
          <w:bCs/>
          <w:color w:val="000000" w:themeColor="text1"/>
          <w:sz w:val="32"/>
          <w:szCs w:val="32"/>
          <w14:textFill>
            <w14:solidFill>
              <w14:schemeClr w14:val="tx1"/>
            </w14:solidFill>
          </w14:textFill>
        </w:rPr>
        <w:t>整理发布行业监管警示案例</w:t>
      </w:r>
      <w:r>
        <w:rPr>
          <w:rFonts w:hint="eastAsia" w:ascii="仿宋_GB2312" w:hAnsi="楷体" w:eastAsia="仿宋_GB2312"/>
          <w:b/>
          <w:color w:val="000000" w:themeColor="text1"/>
          <w:sz w:val="32"/>
          <w:szCs w:val="32"/>
          <w14:textFill>
            <w14:solidFill>
              <w14:schemeClr w14:val="tx1"/>
            </w14:solidFill>
          </w14:textFill>
        </w:rPr>
        <w:t>。</w:t>
      </w:r>
      <w:r>
        <w:rPr>
          <w:rFonts w:hint="eastAsia" w:ascii="仿宋_GB2312" w:hAnsi="楷体" w:eastAsia="仿宋_GB2312"/>
          <w:bCs/>
          <w:color w:val="000000" w:themeColor="text1"/>
          <w:sz w:val="32"/>
          <w:szCs w:val="32"/>
          <w14:textFill>
            <w14:solidFill>
              <w14:schemeClr w14:val="tx1"/>
            </w14:solidFill>
          </w14:textFill>
        </w:rPr>
        <w:t>协会</w:t>
      </w:r>
      <w:r>
        <w:rPr>
          <w:rFonts w:hint="eastAsia" w:ascii="仿宋_GB2312" w:hAnsi="仿宋" w:eastAsia="仿宋_GB2312"/>
          <w:color w:val="000000" w:themeColor="text1"/>
          <w:sz w:val="32"/>
          <w:szCs w:val="32"/>
          <w14:textFill>
            <w14:solidFill>
              <w14:schemeClr w14:val="tx1"/>
            </w14:solidFill>
          </w14:textFill>
        </w:rPr>
        <w:t>精选证券期货监管部门发布的行政处罚和行政监管措施，编</w:t>
      </w:r>
      <w:r>
        <w:rPr>
          <w:rFonts w:hint="eastAsia" w:ascii="仿宋_GB2312" w:hAnsi="仿宋" w:eastAsia="仿宋_GB2312"/>
          <w:sz w:val="32"/>
          <w:szCs w:val="32"/>
        </w:rPr>
        <w:t>写典型案例167个，并通过协会官网、微信公众号</w:t>
      </w:r>
      <w:r>
        <w:rPr>
          <w:rFonts w:hint="eastAsia" w:ascii="仿宋_GB2312" w:hAnsi="仿宋" w:eastAsia="仿宋_GB2312"/>
          <w:sz w:val="32"/>
          <w:szCs w:val="32"/>
          <w:lang w:eastAsia="zh-CN"/>
        </w:rPr>
        <w:t>和片区微信群</w:t>
      </w:r>
      <w:r>
        <w:rPr>
          <w:rFonts w:hint="eastAsia" w:ascii="仿宋_GB2312" w:hAnsi="仿宋" w:eastAsia="仿宋_GB2312"/>
          <w:sz w:val="32"/>
          <w:szCs w:val="32"/>
        </w:rPr>
        <w:t>等方式向</w:t>
      </w:r>
      <w:r>
        <w:rPr>
          <w:rFonts w:hint="eastAsia" w:ascii="仿宋_GB2312" w:hAnsi="仿宋" w:eastAsia="仿宋_GB2312"/>
          <w:sz w:val="32"/>
          <w:szCs w:val="32"/>
          <w:lang w:eastAsia="zh-CN"/>
        </w:rPr>
        <w:t>全体</w:t>
      </w:r>
      <w:r>
        <w:rPr>
          <w:rFonts w:hint="eastAsia" w:ascii="仿宋_GB2312" w:hAnsi="仿宋" w:eastAsia="仿宋_GB2312"/>
          <w:sz w:val="32"/>
          <w:szCs w:val="32"/>
        </w:rPr>
        <w:t>会员发</w:t>
      </w:r>
      <w:r>
        <w:rPr>
          <w:rFonts w:hint="eastAsia" w:ascii="仿宋_GB2312" w:hAnsi="仿宋" w:eastAsia="仿宋_GB2312"/>
          <w:color w:val="000000" w:themeColor="text1"/>
          <w:sz w:val="32"/>
          <w:szCs w:val="32"/>
          <w14:textFill>
            <w14:solidFill>
              <w14:schemeClr w14:val="tx1"/>
            </w14:solidFill>
          </w14:textFill>
        </w:rPr>
        <w:t>布。同时，</w:t>
      </w:r>
      <w:r>
        <w:rPr>
          <w:rFonts w:hint="eastAsia" w:ascii="仿宋_GB2312" w:hAnsi="仿宋_GB2312" w:eastAsia="仿宋_GB2312"/>
          <w:sz w:val="32"/>
          <w:szCs w:val="32"/>
        </w:rPr>
        <w:t>在</w:t>
      </w:r>
      <w:r>
        <w:rPr>
          <w:rFonts w:ascii="仿宋_GB2312" w:hAnsi="仿宋_GB2312" w:eastAsia="仿宋_GB2312"/>
          <w:sz w:val="32"/>
          <w:szCs w:val="32"/>
        </w:rPr>
        <w:t>江门、</w:t>
      </w:r>
      <w:r>
        <w:rPr>
          <w:rFonts w:hint="eastAsia" w:ascii="仿宋_GB2312" w:hAnsi="仿宋_GB2312" w:eastAsia="仿宋_GB2312"/>
          <w:sz w:val="32"/>
          <w:szCs w:val="32"/>
        </w:rPr>
        <w:t>惠州和</w:t>
      </w:r>
      <w:r>
        <w:rPr>
          <w:rFonts w:ascii="仿宋_GB2312" w:hAnsi="仿宋_GB2312" w:eastAsia="仿宋_GB2312"/>
          <w:sz w:val="32"/>
          <w:szCs w:val="32"/>
        </w:rPr>
        <w:t>东莞</w:t>
      </w:r>
      <w:r>
        <w:rPr>
          <w:rFonts w:hint="eastAsia" w:ascii="仿宋_GB2312" w:hAnsi="仿宋_GB2312" w:eastAsia="仿宋_GB2312"/>
          <w:sz w:val="32"/>
          <w:szCs w:val="32"/>
        </w:rPr>
        <w:t>等</w:t>
      </w:r>
      <w:r>
        <w:rPr>
          <w:rFonts w:ascii="仿宋_GB2312" w:hAnsi="仿宋_GB2312" w:eastAsia="仿宋_GB2312"/>
          <w:sz w:val="32"/>
          <w:szCs w:val="32"/>
        </w:rPr>
        <w:t>片区</w:t>
      </w:r>
      <w:r>
        <w:rPr>
          <w:rFonts w:hint="eastAsia" w:ascii="仿宋_GB2312" w:hAnsi="仿宋_GB2312" w:eastAsia="仿宋_GB2312"/>
          <w:sz w:val="32"/>
          <w:szCs w:val="32"/>
        </w:rPr>
        <w:t>开展分支机构负责人典型案例合规宣讲活动。</w:t>
      </w:r>
      <w:r>
        <w:rPr>
          <w:rFonts w:hint="eastAsia" w:ascii="仿宋_GB2312" w:hAnsi="仿宋" w:eastAsia="仿宋_GB2312"/>
          <w:b/>
          <w:bCs/>
          <w:color w:val="000000" w:themeColor="text1"/>
          <w:sz w:val="32"/>
          <w:szCs w:val="32"/>
          <w:lang w:val="en-US" w:eastAsia="zh-CN"/>
          <w14:textFill>
            <w14:solidFill>
              <w14:schemeClr w14:val="tx1"/>
            </w14:solidFill>
          </w14:textFill>
        </w:rPr>
        <w:t>三</w:t>
      </w:r>
      <w:r>
        <w:rPr>
          <w:rFonts w:hint="eastAsia" w:ascii="仿宋_GB2312" w:hAnsi="仿宋" w:eastAsia="仿宋_GB2312"/>
          <w:b/>
          <w:bCs/>
          <w:color w:val="000000" w:themeColor="text1"/>
          <w:sz w:val="32"/>
          <w:szCs w:val="32"/>
          <w14:textFill>
            <w14:solidFill>
              <w14:schemeClr w14:val="tx1"/>
            </w14:solidFill>
          </w14:textFill>
        </w:rPr>
        <w:t>是</w:t>
      </w:r>
      <w:r>
        <w:rPr>
          <w:rFonts w:hint="eastAsia" w:ascii="仿宋_GB2312" w:hAnsi="仿宋_GB2312" w:eastAsia="仿宋_GB2312"/>
          <w:b w:val="0"/>
          <w:bCs w:val="0"/>
          <w:color w:val="auto"/>
          <w:sz w:val="32"/>
          <w:szCs w:val="32"/>
          <w:lang w:eastAsia="zh-CN"/>
        </w:rPr>
        <w:t>向全体会员</w:t>
      </w:r>
      <w:r>
        <w:rPr>
          <w:rFonts w:hint="eastAsia" w:ascii="仿宋_GB2312" w:hAnsi="仿宋" w:eastAsia="仿宋_GB2312"/>
          <w:color w:val="000000" w:themeColor="text1"/>
          <w:sz w:val="32"/>
          <w:szCs w:val="32"/>
          <w14:textFill>
            <w14:solidFill>
              <w14:schemeClr w14:val="tx1"/>
            </w14:solidFill>
          </w14:textFill>
        </w:rPr>
        <w:t>开展行业文化建设实践优秀案例征集活动，</w:t>
      </w:r>
      <w:r>
        <w:rPr>
          <w:rFonts w:hint="eastAsia" w:ascii="仿宋_GB2312" w:hAnsi="仿宋" w:eastAsia="仿宋_GB2312"/>
          <w:color w:val="000000" w:themeColor="text1"/>
          <w:sz w:val="32"/>
          <w:szCs w:val="32"/>
          <w:lang w:val="en-US" w:eastAsia="zh-CN"/>
          <w14:textFill>
            <w14:solidFill>
              <w14:schemeClr w14:val="tx1"/>
            </w14:solidFill>
          </w14:textFill>
        </w:rPr>
        <w:t>评选优秀案例40篇印制成册并在网站、公众号上推送，</w:t>
      </w:r>
      <w:r>
        <w:rPr>
          <w:rFonts w:hint="eastAsia" w:ascii="仿宋_GB2312" w:hAnsi="仿宋" w:eastAsia="仿宋_GB2312"/>
          <w:color w:val="000000" w:themeColor="text1"/>
          <w:sz w:val="32"/>
          <w:szCs w:val="32"/>
          <w14:textFill>
            <w14:solidFill>
              <w14:schemeClr w14:val="tx1"/>
            </w14:solidFill>
          </w14:textFill>
        </w:rPr>
        <w:t>通过立标兵、树模范，激发行业文化建设工作的主动意识和看齐意识，争取以优秀行业文化全面推进行业自律体系建设。</w:t>
      </w:r>
      <w:r>
        <w:rPr>
          <w:rFonts w:hint="eastAsia" w:ascii="仿宋_GB2312" w:hAnsi="仿宋" w:eastAsia="仿宋_GB2312"/>
          <w:b/>
          <w:bCs/>
          <w:color w:val="000000" w:themeColor="text1"/>
          <w:sz w:val="32"/>
          <w:szCs w:val="32"/>
          <w:lang w:val="en-US" w:eastAsia="zh-CN"/>
          <w14:textFill>
            <w14:solidFill>
              <w14:schemeClr w14:val="tx1"/>
            </w14:solidFill>
          </w14:textFill>
        </w:rPr>
        <w:t>四</w:t>
      </w:r>
      <w:r>
        <w:rPr>
          <w:rFonts w:hint="eastAsia" w:ascii="仿宋_GB2312" w:hAnsi="仿宋" w:eastAsia="仿宋_GB2312"/>
          <w:b/>
          <w:bCs/>
          <w:color w:val="000000" w:themeColor="text1"/>
          <w:sz w:val="32"/>
          <w:szCs w:val="32"/>
          <w14:textFill>
            <w14:solidFill>
              <w14:schemeClr w14:val="tx1"/>
            </w14:solidFill>
          </w14:textFill>
        </w:rPr>
        <w:t>是</w:t>
      </w:r>
      <w:r>
        <w:rPr>
          <w:rFonts w:hint="eastAsia" w:ascii="仿宋_GB2312" w:hAnsi="仿宋" w:eastAsia="仿宋_GB2312"/>
          <w:color w:val="000000" w:themeColor="text1"/>
          <w:sz w:val="32"/>
          <w:szCs w:val="32"/>
          <w14:textFill>
            <w14:solidFill>
              <w14:schemeClr w14:val="tx1"/>
            </w14:solidFill>
          </w14:textFill>
        </w:rPr>
        <w:t>强化法规宣传。</w:t>
      </w:r>
      <w:r>
        <w:rPr>
          <w:rFonts w:ascii="仿宋_GB2312" w:hAnsi="仿宋_GB2312" w:eastAsia="仿宋_GB2312"/>
          <w:sz w:val="32"/>
          <w:szCs w:val="32"/>
        </w:rPr>
        <w:t>组织开展辖区《期货和衍生品法》宣传学习工作，设置并充实</w:t>
      </w:r>
      <w:r>
        <w:rPr>
          <w:rFonts w:hint="eastAsia" w:ascii="仿宋_GB2312" w:hAnsi="仿宋_GB2312" w:eastAsia="仿宋_GB2312"/>
          <w:sz w:val="32"/>
          <w:szCs w:val="32"/>
        </w:rPr>
        <w:t>协会</w:t>
      </w:r>
      <w:r>
        <w:rPr>
          <w:rFonts w:ascii="仿宋_GB2312" w:hAnsi="仿宋_GB2312" w:eastAsia="仿宋_GB2312"/>
          <w:sz w:val="32"/>
          <w:szCs w:val="32"/>
        </w:rPr>
        <w:t>网站《期货和衍生品法》宣传专栏，</w:t>
      </w:r>
      <w:r>
        <w:rPr>
          <w:rFonts w:hint="eastAsia" w:ascii="仿宋_GB2312" w:hAnsi="仿宋_GB2312" w:eastAsia="仿宋_GB2312"/>
          <w:sz w:val="32"/>
          <w:szCs w:val="32"/>
        </w:rPr>
        <w:t>积极发动会员单位制作宣传教育产品，并通过专栏及微信公众号</w:t>
      </w:r>
      <w:r>
        <w:rPr>
          <w:rFonts w:ascii="仿宋_GB2312" w:hAnsi="仿宋_GB2312" w:eastAsia="仿宋_GB2312"/>
          <w:sz w:val="32"/>
          <w:szCs w:val="32"/>
        </w:rPr>
        <w:t>转发中国期货业协会</w:t>
      </w:r>
      <w:r>
        <w:rPr>
          <w:rFonts w:hint="eastAsia" w:ascii="仿宋_GB2312" w:hAnsi="仿宋_GB2312" w:eastAsia="仿宋_GB2312"/>
          <w:sz w:val="32"/>
          <w:szCs w:val="32"/>
        </w:rPr>
        <w:t>（下称中期协）、期货交易所、会员单位等有关</w:t>
      </w:r>
      <w:r>
        <w:rPr>
          <w:rFonts w:ascii="仿宋_GB2312" w:hAnsi="仿宋_GB2312" w:eastAsia="仿宋_GB2312"/>
          <w:sz w:val="32"/>
          <w:szCs w:val="32"/>
        </w:rPr>
        <w:t>宣传文章</w:t>
      </w:r>
      <w:r>
        <w:rPr>
          <w:rFonts w:hint="eastAsia" w:ascii="仿宋_GB2312" w:hAnsi="仿宋_GB2312" w:eastAsia="仿宋_GB2312"/>
          <w:sz w:val="32"/>
          <w:szCs w:val="32"/>
        </w:rPr>
        <w:t>信息100余条。</w:t>
      </w:r>
      <w:r>
        <w:rPr>
          <w:rFonts w:ascii="仿宋_GB2312" w:hAnsi="仿宋_GB2312" w:eastAsia="仿宋_GB2312"/>
          <w:sz w:val="32"/>
          <w:szCs w:val="32"/>
        </w:rPr>
        <w:t>及时梳理证券期货行业新发布的法律法规、证监会规定、自律规则等，同步更新到</w:t>
      </w:r>
      <w:r>
        <w:rPr>
          <w:rFonts w:hint="eastAsia" w:ascii="仿宋_GB2312" w:hAnsi="仿宋_GB2312" w:eastAsia="仿宋_GB2312"/>
          <w:sz w:val="32"/>
          <w:szCs w:val="32"/>
        </w:rPr>
        <w:t>协</w:t>
      </w:r>
      <w:r>
        <w:rPr>
          <w:rFonts w:ascii="仿宋_GB2312" w:hAnsi="仿宋_GB2312" w:eastAsia="仿宋_GB2312"/>
          <w:sz w:val="32"/>
          <w:szCs w:val="32"/>
        </w:rPr>
        <w:t>会官网</w:t>
      </w:r>
      <w:r>
        <w:rPr>
          <w:rFonts w:hint="eastAsia" w:ascii="仿宋_GB2312" w:hAnsi="仿宋_GB2312" w:eastAsia="仿宋_GB2312"/>
          <w:sz w:val="32"/>
          <w:szCs w:val="32"/>
        </w:rPr>
        <w:t>。</w:t>
      </w:r>
    </w:p>
    <w:p>
      <w:pPr>
        <w:keepNext w:val="0"/>
        <w:keepLines w:val="0"/>
        <w:pageBreakBefore w:val="0"/>
        <w:kinsoku/>
        <w:wordWrap/>
        <w:overflowPunct w:val="0"/>
        <w:topLinePunct w:val="0"/>
        <w:bidi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eastAsia="zh-CN"/>
        </w:rPr>
        <w:t>坚持开展</w:t>
      </w:r>
      <w:r>
        <w:rPr>
          <w:rFonts w:hint="eastAsia" w:ascii="黑体" w:hAnsi="黑体" w:eastAsia="黑体"/>
          <w:sz w:val="32"/>
          <w:szCs w:val="32"/>
        </w:rPr>
        <w:t>交流培训</w:t>
      </w:r>
      <w:r>
        <w:rPr>
          <w:rFonts w:hint="eastAsia" w:ascii="黑体" w:hAnsi="黑体" w:eastAsia="黑体"/>
          <w:sz w:val="32"/>
          <w:szCs w:val="32"/>
          <w:lang w:eastAsia="zh-CN"/>
        </w:rPr>
        <w:t>活动</w:t>
      </w:r>
      <w:r>
        <w:rPr>
          <w:rFonts w:hint="eastAsia" w:ascii="黑体" w:hAnsi="黑体" w:eastAsia="黑体"/>
          <w:sz w:val="32"/>
          <w:szCs w:val="32"/>
        </w:rPr>
        <w:t>，提升服务实体经济水平</w:t>
      </w:r>
    </w:p>
    <w:p>
      <w:pPr>
        <w:keepNext w:val="0"/>
        <w:keepLines w:val="0"/>
        <w:pageBreakBefore w:val="0"/>
        <w:kinsoku/>
        <w:wordWrap/>
        <w:topLinePunct w:val="0"/>
        <w:bidi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广聚资源，不断丰富和完善沟通交流和培训提升的服务平台建设。</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是开展多样化培训。</w:t>
      </w:r>
      <w:r>
        <w:rPr>
          <w:rFonts w:hint="eastAsia" w:ascii="仿宋_GB2312" w:hAnsi="仿宋_GB2312" w:eastAsia="仿宋_GB2312" w:cs="仿宋_GB2312"/>
          <w:sz w:val="32"/>
          <w:szCs w:val="32"/>
        </w:rPr>
        <w:t>2022</w:t>
      </w:r>
      <w:r>
        <w:rPr>
          <w:rFonts w:hint="eastAsia" w:ascii="仿宋_GB2312" w:hAnsi="仿宋_GB2312" w:eastAsia="仿宋_GB2312" w:cs="仿宋_GB2312"/>
          <w:color w:val="000000" w:themeColor="text1"/>
          <w:sz w:val="32"/>
          <w:szCs w:val="32"/>
          <w14:textFill>
            <w14:solidFill>
              <w14:schemeClr w14:val="tx1"/>
            </w14:solidFill>
          </w14:textFill>
        </w:rPr>
        <w:t>年，协会采用自办+合作、线上+线下相结合的方式先后</w:t>
      </w:r>
      <w:r>
        <w:rPr>
          <w:rFonts w:hint="eastAsia" w:ascii="仿宋_GB2312" w:hAnsi="仿宋_GB2312" w:eastAsia="仿宋_GB2312" w:cs="仿宋_GB2312"/>
          <w:sz w:val="32"/>
          <w:szCs w:val="32"/>
        </w:rPr>
        <w:t>举办了7期业务培训班，</w:t>
      </w:r>
      <w:r>
        <w:rPr>
          <w:rFonts w:hint="eastAsia" w:ascii="仿宋_GB2312" w:hAnsi="仿宋_GB2312" w:eastAsia="仿宋_GB2312" w:cs="仿宋_GB2312"/>
          <w:sz w:val="32"/>
          <w:szCs w:val="32"/>
          <w:lang w:val="en-US" w:eastAsia="zh-CN"/>
        </w:rPr>
        <w:t>免费</w:t>
      </w:r>
      <w:r>
        <w:rPr>
          <w:rFonts w:hint="eastAsia" w:ascii="仿宋_GB2312" w:hAnsi="仿宋_GB2312" w:eastAsia="仿宋_GB2312" w:cs="仿宋_GB2312"/>
          <w:sz w:val="32"/>
          <w:szCs w:val="32"/>
        </w:rPr>
        <w:t>服务培训对象逾11万人次，</w:t>
      </w:r>
      <w:r>
        <w:rPr>
          <w:rFonts w:hint="eastAsia" w:ascii="仿宋_GB2312" w:hAnsi="仿宋_GB2312" w:eastAsia="仿宋_GB2312" w:cs="仿宋_GB2312"/>
          <w:color w:val="000000" w:themeColor="text1"/>
          <w:sz w:val="32"/>
          <w:szCs w:val="32"/>
          <w14:textFill>
            <w14:solidFill>
              <w14:schemeClr w14:val="tx1"/>
            </w14:solidFill>
          </w14:textFill>
        </w:rPr>
        <w:t>赢得了会员的充分肯定。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培训内容包括：辖区分支机构分类评价指标变动情况解读，邀请广东证监局监管干部准确分析规则变化，及时解答会员疑问；</w:t>
      </w:r>
      <w:r>
        <w:rPr>
          <w:rFonts w:hint="eastAsia" w:ascii="仿宋_GB2312" w:hAnsi="仿宋_GB2312" w:eastAsia="仿宋_GB2312" w:cs="仿宋_GB2312"/>
          <w:sz w:val="32"/>
          <w:szCs w:val="32"/>
        </w:rPr>
        <w:t>证券公司分支机构高净值客户资产配置培训班，服务会员单位财富管理能力再提升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资本市场相关法律法规解读专题培训班，</w:t>
      </w:r>
      <w:r>
        <w:rPr>
          <w:rFonts w:hint="eastAsia" w:ascii="仿宋_GB2312" w:hAnsi="仿宋_GB2312" w:eastAsia="仿宋_GB2312" w:cs="仿宋_GB2312"/>
          <w:sz w:val="32"/>
          <w:szCs w:val="32"/>
          <w:lang w:val="en-US" w:eastAsia="zh-CN"/>
        </w:rPr>
        <w:t>邀请中国证监会法律专家解读虚假陈述司法解释和《刑法修正案（十一）》，</w:t>
      </w:r>
      <w:r>
        <w:rPr>
          <w:rFonts w:hint="eastAsia" w:ascii="仿宋_GB2312" w:hAnsi="仿宋_GB2312" w:eastAsia="仿宋_GB2312" w:cs="仿宋_GB2312"/>
          <w:sz w:val="32"/>
          <w:szCs w:val="32"/>
        </w:rPr>
        <w:t>夯实辖区机构合规经营基础；</w:t>
      </w:r>
      <w:r>
        <w:rPr>
          <w:rFonts w:hint="eastAsia" w:ascii="仿宋_GB2312" w:hAnsi="仿宋_GB2312" w:eastAsia="仿宋_GB2312" w:cs="仿宋_GB2312"/>
          <w:sz w:val="32"/>
          <w:szCs w:val="32"/>
          <w:lang w:val="en-US" w:eastAsia="zh-CN"/>
        </w:rPr>
        <w:t>2场期货类业务培训和</w:t>
      </w:r>
      <w:r>
        <w:rPr>
          <w:rFonts w:hint="eastAsia" w:ascii="仿宋_GB2312" w:hAnsi="仿宋_GB2312" w:eastAsia="仿宋_GB2312" w:cs="仿宋_GB2312"/>
          <w:sz w:val="32"/>
          <w:szCs w:val="32"/>
        </w:rPr>
        <w:t>“稳企安农 护航实体”——“稳大盘”下大宗商品风险管理（广东）论坛，提升辖区期货行业服务实体产业发展动能。</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是努力发挥专业委员会职能。</w:t>
      </w:r>
      <w:r>
        <w:rPr>
          <w:rFonts w:hint="eastAsia" w:ascii="仿宋_GB2312" w:hAnsi="仿宋_GB2312" w:eastAsia="仿宋_GB2312" w:cs="仿宋_GB2312"/>
          <w:sz w:val="32"/>
          <w:szCs w:val="32"/>
        </w:rPr>
        <w:t>召开投资银行委员会第二次会议，系统总结注册制改革前期试点经验，引导和推动注册制改革在辖区稳步发展，促进辖区建立规范良好的投行生态，切实当好资本市场“看门人”。召开教育培训委员会第三次会议，根据会员需求部署全年培训计划，有的放矢服务行业提升。召开发展委员会第四次会议，评审协会2021-2022年度行业重点研究课题，并探讨证券行业财富管理面临的若干问题，深化理论研究与指引，持续推进行业课题研究走深走实。</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是拓宽服务领域。</w:t>
      </w:r>
      <w:r>
        <w:rPr>
          <w:rFonts w:hint="eastAsia" w:ascii="仿宋_GB2312" w:hAnsi="仿宋_GB2312" w:eastAsia="仿宋_GB2312" w:cs="仿宋_GB2312"/>
          <w:b w:val="0"/>
          <w:bCs w:val="0"/>
          <w:sz w:val="32"/>
          <w:szCs w:val="32"/>
        </w:rPr>
        <w:t>带领会员</w:t>
      </w:r>
      <w:r>
        <w:rPr>
          <w:rFonts w:hint="eastAsia" w:ascii="仿宋_GB2312" w:hAnsi="仿宋_GB2312" w:eastAsia="仿宋_GB2312" w:cs="仿宋_GB2312"/>
          <w:sz w:val="32"/>
          <w:szCs w:val="32"/>
        </w:rPr>
        <w:t>走访广东省养猪行业协会及部分生猪养殖企业，调研“保险+期货”的风险管理模式，拓宽期货应用场景，助力行业稳企安农；</w:t>
      </w:r>
      <w:r>
        <w:rPr>
          <w:rFonts w:hint="eastAsia" w:ascii="仿宋_GB2312" w:hAnsi="仿宋_GB2312" w:eastAsia="仿宋_GB2312" w:cs="仿宋_GB2312"/>
          <w:sz w:val="32"/>
          <w:szCs w:val="32"/>
          <w:lang w:val="en-US" w:eastAsia="zh-CN"/>
        </w:rPr>
        <w:t>支持会员参与中国期货业协会生猪订单农业试点课题，探索订单农业与期货及衍生品工具结合服务产业；</w:t>
      </w:r>
      <w:r>
        <w:rPr>
          <w:rFonts w:hint="eastAsia" w:ascii="仿宋_GB2312" w:hAnsi="仿宋_GB2312" w:eastAsia="仿宋_GB2312" w:cs="仿宋_GB2312"/>
          <w:sz w:val="32"/>
          <w:szCs w:val="32"/>
        </w:rPr>
        <w:t>协助开展广州资本市场金融科技创新试点项目申报及评审工作，推进科技赋能行业新发展。</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是召开部分片区会议。</w:t>
      </w:r>
      <w:r>
        <w:rPr>
          <w:rFonts w:hint="eastAsia" w:ascii="仿宋_GB2312" w:hAnsi="仿宋_GB2312" w:eastAsia="仿宋_GB2312" w:cs="仿宋_GB2312"/>
          <w:sz w:val="32"/>
          <w:szCs w:val="32"/>
        </w:rPr>
        <w:t>根据疫情防控形势，召开了东莞和惠州片区现场会议，组织会员单位就党建工作、合规管理、文化建设、业务发展等内容展开深入讨论交流和经验分享。</w:t>
      </w:r>
      <w:r>
        <w:rPr>
          <w:rFonts w:hint="eastAsia" w:ascii="仿宋_GB2312" w:hAnsi="仿宋_GB2312" w:eastAsia="仿宋_GB2312" w:cs="仿宋_GB2312"/>
          <w:b/>
          <w:bCs/>
          <w:sz w:val="32"/>
          <w:szCs w:val="32"/>
        </w:rPr>
        <w:t>五是探索行业交流新形式。</w:t>
      </w:r>
      <w:r>
        <w:rPr>
          <w:rFonts w:hint="eastAsia" w:ascii="仿宋_GB2312" w:hAnsi="仿宋_GB2312" w:eastAsia="仿宋_GB2312" w:cs="仿宋_GB2312"/>
          <w:sz w:val="32"/>
          <w:szCs w:val="32"/>
        </w:rPr>
        <w:t>自3月份起，每月采集会员单位在服务实体经济、党建与业务深度融合、业务创新与风险防范等方面的资料，并编辑成《行业动态》向会员发布，促进行业内经验交流。</w:t>
      </w:r>
    </w:p>
    <w:p>
      <w:pPr>
        <w:keepNext w:val="0"/>
        <w:keepLines w:val="0"/>
        <w:pageBreakBefore w:val="0"/>
        <w:kinsoku/>
        <w:wordWrap/>
        <w:overflowPunct w:val="0"/>
        <w:topLinePunct w:val="0"/>
        <w:bidi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ascii="黑体" w:hAnsi="黑体" w:eastAsia="黑体"/>
          <w:sz w:val="32"/>
          <w:szCs w:val="32"/>
        </w:rPr>
        <w:t>、</w:t>
      </w:r>
      <w:r>
        <w:rPr>
          <w:rFonts w:hint="eastAsia" w:ascii="黑体" w:hAnsi="黑体" w:eastAsia="黑体"/>
          <w:sz w:val="32"/>
          <w:szCs w:val="32"/>
          <w:lang w:eastAsia="zh-CN"/>
        </w:rPr>
        <w:t>坚持为群众办实事</w:t>
      </w:r>
      <w:r>
        <w:rPr>
          <w:rFonts w:ascii="黑体" w:hAnsi="黑体" w:eastAsia="黑体"/>
          <w:sz w:val="32"/>
          <w:szCs w:val="32"/>
        </w:rPr>
        <w:t>，指导调解中心工作再上新台阶</w:t>
      </w:r>
    </w:p>
    <w:p>
      <w:pPr>
        <w:keepNext w:val="0"/>
        <w:keepLines w:val="0"/>
        <w:pageBreakBefore w:val="0"/>
        <w:kinsoku/>
        <w:wordWrap/>
        <w:overflowPunct w:val="0"/>
        <w:topLinePunct w:val="0"/>
        <w:bidi w:val="0"/>
        <w:spacing w:line="336" w:lineRule="auto"/>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highlight w:val="none"/>
        </w:rPr>
        <w:t>截至2022年12月，调解中心解答咨询524件，同比增加89.17%，受理纠纷314件（不含重复纠纷），同比减少5.99%，其中法院委派136件。目前已办结314件，其中调解成功236件，调解成功率75.16%，调解成功涉及金额约767.3万元。</w:t>
      </w:r>
      <w:r>
        <w:rPr>
          <w:rFonts w:hint="eastAsia" w:ascii="仿宋_GB2312" w:hAnsi="仿宋_GB2312" w:eastAsia="仿宋_GB2312"/>
          <w:b/>
          <w:bCs/>
          <w:sz w:val="32"/>
          <w:szCs w:val="32"/>
          <w:highlight w:val="none"/>
        </w:rPr>
        <w:t>一是</w:t>
      </w:r>
      <w:r>
        <w:rPr>
          <w:rFonts w:hint="eastAsia" w:ascii="仿宋_GB2312" w:hAnsi="仿宋_GB2312" w:eastAsia="仿宋_GB2312"/>
          <w:sz w:val="32"/>
          <w:szCs w:val="32"/>
          <w:highlight w:val="none"/>
        </w:rPr>
        <w:t>诉调对接工作覆盖面进一步扩大。调解中心先后与汕头、珠海两地法院签署</w:t>
      </w:r>
      <w:r>
        <w:rPr>
          <w:rFonts w:hint="eastAsia" w:ascii="仿宋_GB2312" w:hAnsi="仿宋_GB2312" w:eastAsia="仿宋_GB2312"/>
          <w:sz w:val="32"/>
          <w:szCs w:val="32"/>
        </w:rPr>
        <w:t>了关于证券期货纠纷多元化解工作合作备忘录，实现证券纠纷多元化解机制覆盖辖区具有证券虚假陈述民事赔偿案件管辖权的人民法院。同时，调解中心在珠海市中级人民法院设立了“证券期货纠纷调解工作室”，进一步缩短投资者合法维权的路径。</w:t>
      </w:r>
      <w:r>
        <w:rPr>
          <w:rFonts w:hint="eastAsia" w:ascii="仿宋_GB2312" w:hAnsi="仿宋_GB2312" w:eastAsia="仿宋_GB2312"/>
          <w:b/>
          <w:bCs/>
          <w:sz w:val="32"/>
          <w:szCs w:val="32"/>
        </w:rPr>
        <w:t>二是</w:t>
      </w:r>
      <w:r>
        <w:rPr>
          <w:rFonts w:hint="eastAsia" w:ascii="仿宋_GB2312" w:hAnsi="仿宋_GB2312" w:eastAsia="仿宋_GB2312"/>
          <w:sz w:val="32"/>
          <w:szCs w:val="32"/>
        </w:rPr>
        <w:t>调解案例的编写质量与宣传效果进一步提升。全年，调解中心共发布10期“纠纷早知道”工作简报，编写案例10件，并分别向中证资本市场法律服务中心及上海证券报权益360专栏报送案例合计4篇。</w:t>
      </w:r>
      <w:r>
        <w:rPr>
          <w:rFonts w:hint="eastAsia" w:ascii="仿宋_GB2312" w:hAnsi="仿宋_GB2312" w:eastAsia="仿宋_GB2312"/>
          <w:b/>
          <w:bCs/>
          <w:sz w:val="32"/>
          <w:szCs w:val="32"/>
        </w:rPr>
        <w:t>三是</w:t>
      </w:r>
      <w:r>
        <w:rPr>
          <w:rFonts w:hint="eastAsia" w:ascii="仿宋_GB2312" w:hAnsi="仿宋_GB2312" w:eastAsia="仿宋_GB2312"/>
          <w:sz w:val="32"/>
          <w:szCs w:val="32"/>
        </w:rPr>
        <w:t>调解员队伍建设进一步优化。续聘考评合格的调解员，同时吸纳了2名经验丰富的律师加入调解员队伍，进一步提高律师调解员占比。全年，组织调解员线上参加最高人民法院举办的调解员培训班合计8次，不断提高调解员队伍的业务素质和调解水平。</w:t>
      </w:r>
    </w:p>
    <w:p>
      <w:pPr>
        <w:keepNext w:val="0"/>
        <w:keepLines w:val="0"/>
        <w:pageBreakBefore w:val="0"/>
        <w:kinsoku/>
        <w:wordWrap/>
        <w:topLinePunct w:val="0"/>
        <w:bidi w:val="0"/>
        <w:spacing w:line="336" w:lineRule="auto"/>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lang w:eastAsia="zh-CN"/>
        </w:rPr>
        <w:t>坚持人民利益至上</w:t>
      </w:r>
      <w:r>
        <w:rPr>
          <w:rFonts w:hint="eastAsia" w:ascii="黑体" w:hAnsi="黑体" w:eastAsia="黑体"/>
          <w:sz w:val="32"/>
          <w:szCs w:val="32"/>
        </w:rPr>
        <w:t>，维护投资者合法权益</w:t>
      </w:r>
    </w:p>
    <w:p>
      <w:pPr>
        <w:keepNext w:val="0"/>
        <w:keepLines w:val="0"/>
        <w:pageBreakBefore w:val="0"/>
        <w:kinsoku/>
        <w:wordWrap/>
        <w:topLinePunct w:val="0"/>
        <w:bidi w:val="0"/>
        <w:spacing w:line="336" w:lineRule="auto"/>
        <w:ind w:firstLine="643" w:firstLineChars="200"/>
        <w:textAlignment w:val="auto"/>
        <w:rPr>
          <w:rFonts w:ascii="仿宋_GB2312" w:hAnsi="仿宋" w:eastAsia="仿宋_GB2312"/>
          <w:sz w:val="32"/>
          <w:szCs w:val="32"/>
          <w:highlight w:val="none"/>
        </w:rPr>
      </w:pPr>
      <w:r>
        <w:rPr>
          <w:rFonts w:hint="eastAsia" w:ascii="仿宋_GB2312" w:hAnsi="仿宋" w:eastAsia="仿宋_GB2312"/>
          <w:b/>
          <w:bCs/>
          <w:color w:val="000000" w:themeColor="text1"/>
          <w:sz w:val="32"/>
          <w:szCs w:val="32"/>
          <w14:textFill>
            <w14:solidFill>
              <w14:schemeClr w14:val="tx1"/>
            </w14:solidFill>
          </w14:textFill>
        </w:rPr>
        <w:t>一是</w:t>
      </w:r>
      <w:r>
        <w:rPr>
          <w:rFonts w:hint="eastAsia" w:ascii="仿宋_GB2312" w:hAnsi="仿宋" w:eastAsia="仿宋_GB2312"/>
          <w:color w:val="000000" w:themeColor="text1"/>
          <w:sz w:val="32"/>
          <w:szCs w:val="32"/>
          <w14:textFill>
            <w14:solidFill>
              <w14:schemeClr w14:val="tx1"/>
            </w14:solidFill>
          </w14:textFill>
        </w:rPr>
        <w:t>优化行业适老服务水平。立足“我为群众办实事”思想与辖区证券行业实践，充分吸收会员单位和监管部门意见建议，发布《广东辖区证券经营机构高龄投资者服务指南》，对辖区证券行业服务高龄投资者提供优化程序、提升质量的指引。</w:t>
      </w:r>
      <w:r>
        <w:rPr>
          <w:rFonts w:hint="eastAsia" w:ascii="仿宋_GB2312" w:hAnsi="仿宋" w:eastAsia="仿宋_GB2312"/>
          <w:b/>
          <w:bCs/>
          <w:color w:val="000000" w:themeColor="text1"/>
          <w:sz w:val="32"/>
          <w:szCs w:val="32"/>
          <w14:textFill>
            <w14:solidFill>
              <w14:schemeClr w14:val="tx1"/>
            </w14:solidFill>
          </w14:textFill>
        </w:rPr>
        <w:t>二是</w:t>
      </w:r>
      <w:r>
        <w:rPr>
          <w:rFonts w:hint="eastAsia" w:ascii="仿宋_GB2312" w:hAnsi="仿宋" w:eastAsia="仿宋_GB2312"/>
          <w:color w:val="000000" w:themeColor="text1"/>
          <w:sz w:val="32"/>
          <w:szCs w:val="32"/>
          <w14:textFill>
            <w14:solidFill>
              <w14:schemeClr w14:val="tx1"/>
            </w14:solidFill>
          </w14:textFill>
        </w:rPr>
        <w:t>协助广东证监局开展优秀投教活动及投教产品表</w:t>
      </w:r>
      <w:r>
        <w:rPr>
          <w:rFonts w:hint="eastAsia" w:ascii="仿宋_GB2312" w:hAnsi="仿宋" w:eastAsia="仿宋_GB2312"/>
          <w:color w:val="000000" w:themeColor="text1"/>
          <w:sz w:val="32"/>
          <w:szCs w:val="32"/>
          <w:highlight w:val="none"/>
          <w14:textFill>
            <w14:solidFill>
              <w14:schemeClr w14:val="tx1"/>
            </w14:solidFill>
          </w14:textFill>
        </w:rPr>
        <w:t>彰活动，</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评选优秀投教活动11个，优秀投教产品20个，并在投教工作座谈会上予以表彰，</w:t>
      </w:r>
      <w:r>
        <w:rPr>
          <w:rFonts w:hint="eastAsia" w:ascii="仿宋_GB2312" w:hAnsi="仿宋" w:eastAsia="仿宋_GB2312"/>
          <w:color w:val="000000" w:themeColor="text1"/>
          <w:sz w:val="32"/>
          <w:szCs w:val="32"/>
          <w:highlight w:val="none"/>
          <w14:textFill>
            <w14:solidFill>
              <w14:schemeClr w14:val="tx1"/>
            </w14:solidFill>
          </w14:textFill>
        </w:rPr>
        <w:t>引导与激励会员单位全面提升投资者教育工作水平。</w:t>
      </w:r>
      <w:r>
        <w:rPr>
          <w:rFonts w:hint="eastAsia" w:ascii="仿宋_GB2312" w:hAnsi="仿宋" w:eastAsia="仿宋_GB2312"/>
          <w:b/>
          <w:bCs/>
          <w:color w:val="000000" w:themeColor="text1"/>
          <w:sz w:val="32"/>
          <w:szCs w:val="32"/>
          <w:highlight w:val="none"/>
          <w14:textFill>
            <w14:solidFill>
              <w14:schemeClr w14:val="tx1"/>
            </w14:solidFill>
          </w14:textFill>
        </w:rPr>
        <w:t>三是</w:t>
      </w:r>
      <w:r>
        <w:rPr>
          <w:rFonts w:hint="eastAsia" w:ascii="仿宋_GB2312" w:hAnsi="仿宋" w:eastAsia="仿宋_GB2312"/>
          <w:color w:val="000000" w:themeColor="text1"/>
          <w:sz w:val="32"/>
          <w:szCs w:val="32"/>
          <w:highlight w:val="none"/>
          <w14:textFill>
            <w14:solidFill>
              <w14:schemeClr w14:val="tx1"/>
            </w14:solidFill>
          </w14:textFill>
        </w:rPr>
        <w:t>积极</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开展形式多样的投教活动。</w:t>
      </w:r>
      <w:r>
        <w:rPr>
          <w:rFonts w:hint="eastAsia" w:ascii="仿宋_GB2312" w:hAnsi="仿宋" w:eastAsia="仿宋_GB2312"/>
          <w:color w:val="000000" w:themeColor="text1"/>
          <w:sz w:val="32"/>
          <w:szCs w:val="32"/>
          <w:highlight w:val="none"/>
          <w14:textFill>
            <w14:solidFill>
              <w14:schemeClr w14:val="tx1"/>
            </w14:solidFill>
          </w14:textFill>
        </w:rPr>
        <w:t>组织会员</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参与</w:t>
      </w:r>
      <w:r>
        <w:rPr>
          <w:rFonts w:hint="eastAsia" w:ascii="仿宋_GB2312" w:hAnsi="仿宋" w:eastAsia="仿宋_GB2312"/>
          <w:color w:val="000000" w:themeColor="text1"/>
          <w:sz w:val="32"/>
          <w:szCs w:val="32"/>
          <w:highlight w:val="none"/>
          <w14:textFill>
            <w14:solidFill>
              <w14:schemeClr w14:val="tx1"/>
            </w14:solidFill>
          </w14:textFill>
        </w:rPr>
        <w:t>辖区《股东来了》2022知识竞赛，动员会员单位广泛发动社会公众参与活动</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联合会员开展系列投教活动23次，走进上市公司13次，走进投教基地31次；</w:t>
      </w:r>
      <w:r>
        <w:rPr>
          <w:rFonts w:hint="eastAsia" w:ascii="仿宋_GB2312" w:hAnsi="仿宋" w:eastAsia="仿宋_GB2312"/>
          <w:sz w:val="32"/>
          <w:szCs w:val="32"/>
          <w:highlight w:val="none"/>
        </w:rPr>
        <w:t>借助广东广播电台以及投资快报社的“股市第一线”“有调有理”“期开得胜”等投教公益节目，普及证券期货知识，强化理性投资、价值投资理念</w:t>
      </w:r>
      <w:r>
        <w:rPr>
          <w:rFonts w:hint="eastAsia" w:ascii="仿宋_GB2312" w:hAnsi="仿宋" w:eastAsia="仿宋_GB2312"/>
          <w:color w:val="000000" w:themeColor="text1"/>
          <w:sz w:val="32"/>
          <w:szCs w:val="32"/>
          <w:highlight w:val="none"/>
          <w14:textFill>
            <w14:solidFill>
              <w14:schemeClr w14:val="tx1"/>
            </w14:solidFill>
          </w14:textFill>
        </w:rPr>
        <w:t>，推动证券期货知识普及更加系统化、常态化</w:t>
      </w:r>
      <w:r>
        <w:rPr>
          <w:rFonts w:hint="eastAsia" w:ascii="仿宋_GB2312" w:hAnsi="仿宋" w:eastAsia="仿宋_GB2312"/>
          <w:sz w:val="32"/>
          <w:szCs w:val="32"/>
          <w:highlight w:val="none"/>
        </w:rPr>
        <w:t>。</w:t>
      </w:r>
      <w:r>
        <w:rPr>
          <w:rFonts w:hint="eastAsia" w:ascii="仿宋_GB2312" w:hAnsi="仿宋" w:eastAsia="仿宋_GB2312"/>
          <w:b/>
          <w:bCs/>
          <w:color w:val="000000" w:themeColor="text1"/>
          <w:sz w:val="32"/>
          <w:szCs w:val="32"/>
          <w:highlight w:val="none"/>
          <w:lang w:val="en-US" w:eastAsia="zh-CN"/>
          <w14:textFill>
            <w14:solidFill>
              <w14:schemeClr w14:val="tx1"/>
            </w14:solidFill>
          </w14:textFill>
        </w:rPr>
        <w:t>四</w:t>
      </w:r>
      <w:r>
        <w:rPr>
          <w:rFonts w:hint="eastAsia" w:ascii="仿宋_GB2312" w:hAnsi="仿宋" w:eastAsia="仿宋_GB2312"/>
          <w:b/>
          <w:bCs/>
          <w:color w:val="000000" w:themeColor="text1"/>
          <w:sz w:val="32"/>
          <w:szCs w:val="32"/>
          <w:highlight w:val="none"/>
          <w14:textFill>
            <w14:solidFill>
              <w14:schemeClr w14:val="tx1"/>
            </w14:solidFill>
          </w14:textFill>
        </w:rPr>
        <w:t>是</w:t>
      </w:r>
      <w:r>
        <w:rPr>
          <w:rFonts w:hint="eastAsia" w:ascii="仿宋_GB2312" w:hAnsi="仿宋" w:eastAsia="仿宋_GB2312"/>
          <w:color w:val="000000" w:themeColor="text1"/>
          <w:sz w:val="32"/>
          <w:szCs w:val="32"/>
          <w:highlight w:val="none"/>
          <w14:textFill>
            <w14:solidFill>
              <w14:schemeClr w14:val="tx1"/>
            </w14:solidFill>
          </w14:textFill>
        </w:rPr>
        <w:t>及时发布投资者教育公益信息。</w:t>
      </w:r>
      <w:r>
        <w:rPr>
          <w:rFonts w:hint="eastAsia" w:ascii="仿宋_GB2312" w:hAnsi="仿宋" w:eastAsia="仿宋_GB2312"/>
          <w:sz w:val="32"/>
          <w:szCs w:val="32"/>
          <w:highlight w:val="none"/>
        </w:rPr>
        <w:t>通过协会官网、微信公众号发布各类投资者教育公益信息29条，组织相关会员单位向投资者发送，其中辖区证券公司通过各种渠道转发数量累计达3.08亿人次。</w:t>
      </w:r>
      <w:r>
        <w:rPr>
          <w:rFonts w:hint="eastAsia" w:ascii="仿宋_GB2312" w:hAnsi="仿宋" w:eastAsia="仿宋_GB2312"/>
          <w:b/>
          <w:sz w:val="32"/>
          <w:szCs w:val="32"/>
          <w:highlight w:val="none"/>
          <w:lang w:val="en-US" w:eastAsia="zh-CN"/>
        </w:rPr>
        <w:t>五</w:t>
      </w:r>
      <w:r>
        <w:rPr>
          <w:rFonts w:hint="eastAsia" w:ascii="仿宋_GB2312" w:hAnsi="仿宋" w:eastAsia="仿宋_GB2312"/>
          <w:b/>
          <w:sz w:val="32"/>
          <w:szCs w:val="32"/>
          <w:highlight w:val="none"/>
        </w:rPr>
        <w:t>是</w:t>
      </w:r>
      <w:r>
        <w:rPr>
          <w:rFonts w:hint="eastAsia" w:ascii="仿宋_GB2312" w:hAnsi="仿宋" w:eastAsia="仿宋_GB2312"/>
          <w:color w:val="000000" w:themeColor="text1"/>
          <w:sz w:val="32"/>
          <w:szCs w:val="32"/>
          <w:highlight w:val="none"/>
          <w14:textFill>
            <w14:solidFill>
              <w14:schemeClr w14:val="tx1"/>
            </w14:solidFill>
          </w14:textFill>
        </w:rPr>
        <w:t>申</w:t>
      </w:r>
      <w:r>
        <w:rPr>
          <w:rFonts w:hint="eastAsia" w:ascii="仿宋_GB2312" w:hAnsi="仿宋" w:eastAsia="仿宋_GB2312"/>
          <w:sz w:val="32"/>
          <w:szCs w:val="32"/>
          <w:highlight w:val="none"/>
        </w:rPr>
        <w:t>请开立并</w:t>
      </w:r>
      <w:r>
        <w:rPr>
          <w:rFonts w:hint="eastAsia" w:ascii="仿宋_GB2312" w:hAnsi="仿宋" w:eastAsia="仿宋_GB2312"/>
          <w:color w:val="000000" w:themeColor="text1"/>
          <w:sz w:val="32"/>
          <w:szCs w:val="32"/>
          <w:highlight w:val="none"/>
          <w14:textFill>
            <w14:solidFill>
              <w14:schemeClr w14:val="tx1"/>
            </w14:solidFill>
          </w14:textFill>
        </w:rPr>
        <w:t>协助运营“广东投资者教育与服务”微信公众号，</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累计</w:t>
      </w:r>
      <w:r>
        <w:rPr>
          <w:rFonts w:hint="eastAsia" w:ascii="仿宋_GB2312" w:hAnsi="仿宋" w:eastAsia="仿宋_GB2312"/>
          <w:color w:val="000000" w:themeColor="text1"/>
          <w:sz w:val="32"/>
          <w:szCs w:val="32"/>
          <w:highlight w:val="none"/>
          <w:lang w:eastAsia="zh-CN"/>
          <w14:textFill>
            <w14:solidFill>
              <w14:schemeClr w14:val="tx1"/>
            </w14:solidFill>
          </w14:textFill>
        </w:rPr>
        <w:t>已发布或转发稿件</w:t>
      </w:r>
      <w:r>
        <w:rPr>
          <w:rFonts w:hint="eastAsia" w:ascii="仿宋_GB2312" w:hAnsi="仿宋" w:eastAsia="仿宋_GB2312"/>
          <w:color w:val="000000" w:themeColor="text1"/>
          <w:sz w:val="32"/>
          <w:szCs w:val="32"/>
          <w:highlight w:val="none"/>
          <w:lang w:val="en-US" w:eastAsia="zh-CN"/>
          <w14:textFill>
            <w14:solidFill>
              <w14:schemeClr w14:val="tx1"/>
            </w14:solidFill>
          </w14:textFill>
        </w:rPr>
        <w:t>559篇，</w:t>
      </w:r>
      <w:r>
        <w:rPr>
          <w:rFonts w:hint="eastAsia" w:ascii="仿宋_GB2312" w:hAnsi="仿宋" w:eastAsia="仿宋_GB2312"/>
          <w:color w:val="000000" w:themeColor="text1"/>
          <w:sz w:val="32"/>
          <w:szCs w:val="32"/>
          <w:highlight w:val="none"/>
          <w14:textFill>
            <w14:solidFill>
              <w14:schemeClr w14:val="tx1"/>
            </w14:solidFill>
          </w14:textFill>
        </w:rPr>
        <w:t>进一步丰富投资者教育工作方式方法</w:t>
      </w:r>
      <w:r>
        <w:rPr>
          <w:rFonts w:hint="eastAsia" w:ascii="仿宋_GB2312" w:hAnsi="仿宋" w:eastAsia="仿宋_GB2312"/>
          <w:sz w:val="32"/>
          <w:szCs w:val="32"/>
          <w:highlight w:val="none"/>
        </w:rPr>
        <w:t>。</w:t>
      </w:r>
    </w:p>
    <w:p>
      <w:pPr>
        <w:keepNext w:val="0"/>
        <w:keepLines w:val="0"/>
        <w:pageBreakBefore w:val="0"/>
        <w:numPr>
          <w:ilvl w:val="255"/>
          <w:numId w:val="0"/>
        </w:numPr>
        <w:kinsoku/>
        <w:wordWrap/>
        <w:topLinePunct w:val="0"/>
        <w:bidi w:val="0"/>
        <w:spacing w:line="336" w:lineRule="auto"/>
        <w:ind w:firstLine="640" w:firstLineChars="200"/>
        <w:textAlignment w:val="auto"/>
        <w:rPr>
          <w:rFonts w:ascii="黑体" w:hAnsi="黑体" w:eastAsia="黑体" w:cs="楷体"/>
          <w:bCs/>
          <w:color w:val="000000" w:themeColor="text1"/>
          <w:sz w:val="32"/>
          <w:szCs w:val="32"/>
          <w14:textFill>
            <w14:solidFill>
              <w14:schemeClr w14:val="tx1"/>
            </w14:solidFill>
          </w14:textFill>
        </w:rPr>
      </w:pPr>
      <w:r>
        <w:rPr>
          <w:rFonts w:hint="eastAsia" w:ascii="黑体" w:hAnsi="黑体" w:eastAsia="黑体" w:cs="楷体"/>
          <w:bCs/>
          <w:color w:val="000000" w:themeColor="text1"/>
          <w:sz w:val="32"/>
          <w:szCs w:val="32"/>
          <w14:textFill>
            <w14:solidFill>
              <w14:schemeClr w14:val="tx1"/>
            </w14:solidFill>
          </w14:textFill>
        </w:rPr>
        <w:t>六、</w:t>
      </w:r>
      <w:r>
        <w:rPr>
          <w:rFonts w:hint="eastAsia" w:ascii="黑体" w:hAnsi="黑体" w:eastAsia="黑体" w:cs="楷体"/>
          <w:bCs/>
          <w:color w:val="000000" w:themeColor="text1"/>
          <w:sz w:val="32"/>
          <w:szCs w:val="32"/>
          <w:lang w:eastAsia="zh-CN"/>
          <w14:textFill>
            <w14:solidFill>
              <w14:schemeClr w14:val="tx1"/>
            </w14:solidFill>
          </w14:textFill>
        </w:rPr>
        <w:t>坚持</w:t>
      </w:r>
      <w:r>
        <w:rPr>
          <w:rFonts w:hint="eastAsia" w:ascii="黑体" w:hAnsi="黑体" w:eastAsia="黑体" w:cs="楷体"/>
          <w:bCs/>
          <w:color w:val="000000" w:themeColor="text1"/>
          <w:sz w:val="32"/>
          <w:szCs w:val="32"/>
          <w14:textFill>
            <w14:solidFill>
              <w14:schemeClr w14:val="tx1"/>
            </w14:solidFill>
          </w14:textFill>
        </w:rPr>
        <w:t>履行社会责任，践行乡村振兴新使命</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推进乡村振兴驻镇帮镇扶村工作。派驻秘书处一名优秀骨干赴揭阳市普宁市占陇镇参与组成工作队，开展防止返贫动态监测和帮扶工作，健全防止返贫动态监测和帮扶工作机制，分层分类及时落实帮扶政策；合理制定乡村振兴项目库，顺利落实了</w:t>
      </w:r>
      <w:r>
        <w:rPr>
          <w:rFonts w:hint="eastAsia" w:ascii="仿宋_GB2312" w:hAnsi="仿宋_GB2312" w:eastAsia="仿宋_GB2312" w:cs="仿宋_GB2312"/>
          <w:sz w:val="32"/>
          <w:szCs w:val="32"/>
        </w:rPr>
        <w:t>延长埔村农贸市场和光伏项目、四德村农贸市场项目和林厝寮村道路建设项目的</w:t>
      </w:r>
      <w:r>
        <w:rPr>
          <w:rFonts w:hint="eastAsia" w:ascii="仿宋_GB2312" w:hAnsi="仿宋_GB2312" w:eastAsia="仿宋_GB2312" w:cs="仿宋_GB2312"/>
          <w:color w:val="000000" w:themeColor="text1"/>
          <w:sz w:val="32"/>
          <w:szCs w:val="32"/>
          <w14:textFill>
            <w14:solidFill>
              <w14:schemeClr w14:val="tx1"/>
            </w14:solidFill>
          </w14:textFill>
        </w:rPr>
        <w:t>开发建设工作，稳步推进光伏二期项目实施落地。</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引导行业服务乡村振兴。</w:t>
      </w:r>
      <w:r>
        <w:rPr>
          <w:rFonts w:hint="eastAsia" w:ascii="仿宋_GB2312" w:hAnsi="仿宋_GB2312" w:eastAsia="仿宋_GB2312" w:cs="仿宋_GB2312"/>
          <w:sz w:val="32"/>
          <w:szCs w:val="32"/>
        </w:rPr>
        <w:t>发布《辖区期货行业助力乡村振兴倡议书》，引导和鼓励期货经营机构发挥专业力量，助力乡村振兴战略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highlight w:val="none"/>
          <w:lang w:val="en-US" w:eastAsia="zh-CN"/>
        </w:rPr>
        <w:t>广金期货支持乡村振兴，捐资为定点联系涉农区养殖企业提供生猪价格及饲料成本风险管理项目，助力当地首单风险管理业务成功落地；</w:t>
      </w:r>
      <w:r>
        <w:rPr>
          <w:rFonts w:hint="eastAsia" w:ascii="仿宋_GB2312" w:hAnsi="仿宋_GB2312" w:eastAsia="仿宋_GB2312" w:cs="仿宋_GB2312"/>
          <w:sz w:val="32"/>
          <w:szCs w:val="32"/>
          <w:highlight w:val="none"/>
        </w:rPr>
        <w:t>商请华泰证券广东分公司、安信证券广州分</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两家会员单位捐款</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驻镇帮镇扶村</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道路硬底化建设工程，</w:t>
      </w:r>
      <w:r>
        <w:rPr>
          <w:rFonts w:hint="eastAsia" w:ascii="仿宋_GB2312" w:hAnsi="仿宋_GB2312" w:eastAsia="仿宋_GB2312" w:cs="仿宋_GB2312"/>
          <w:sz w:val="32"/>
          <w:szCs w:val="32"/>
          <w:lang w:val="en-US" w:eastAsia="zh-CN"/>
        </w:rPr>
        <w:t>支持乡村基础设施建设，</w:t>
      </w:r>
      <w:r>
        <w:rPr>
          <w:rFonts w:hint="eastAsia" w:ascii="仿宋_GB2312" w:hAnsi="仿宋_GB2312" w:eastAsia="仿宋_GB2312" w:cs="仿宋_GB2312"/>
          <w:sz w:val="32"/>
          <w:szCs w:val="32"/>
        </w:rPr>
        <w:t>主动担当乡村振兴的行业责任。</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color w:val="000000" w:themeColor="text1"/>
          <w:sz w:val="32"/>
          <w:szCs w:val="32"/>
          <w14:textFill>
            <w14:solidFill>
              <w14:schemeClr w14:val="tx1"/>
            </w14:solidFill>
          </w14:textFill>
        </w:rPr>
        <w:t>配合落实疫情防控工作。协会携手各会员单位积极配合落实所在社区疫情防控各项工作，主动</w:t>
      </w:r>
      <w:r>
        <w:rPr>
          <w:rFonts w:hint="eastAsia" w:ascii="仿宋_GB2312" w:hAnsi="仿宋_GB2312" w:eastAsia="仿宋_GB2312" w:cs="仿宋_GB2312"/>
          <w:sz w:val="32"/>
          <w:szCs w:val="32"/>
        </w:rPr>
        <w:t>支援猎德街道居委会有关疫情防控电话流调工作，同心抗疫，共</w:t>
      </w:r>
      <w:r>
        <w:rPr>
          <w:rFonts w:hint="eastAsia" w:ascii="仿宋_GB2312" w:hAnsi="仿宋_GB2312" w:eastAsia="仿宋_GB2312" w:cs="仿宋_GB2312"/>
          <w:sz w:val="32"/>
          <w:szCs w:val="32"/>
          <w:lang w:eastAsia="zh-CN"/>
        </w:rPr>
        <w:t>克</w:t>
      </w:r>
      <w:r>
        <w:rPr>
          <w:rFonts w:hint="eastAsia" w:ascii="仿宋_GB2312" w:hAnsi="仿宋_GB2312" w:eastAsia="仿宋_GB2312" w:cs="仿宋_GB2312"/>
          <w:sz w:val="32"/>
          <w:szCs w:val="32"/>
        </w:rPr>
        <w:t>时艰</w:t>
      </w:r>
      <w:r>
        <w:rPr>
          <w:rFonts w:hint="eastAsia" w:ascii="仿宋_GB2312" w:hAnsi="仿宋_GB2312" w:eastAsia="仿宋_GB2312" w:cs="仿宋_GB2312"/>
          <w:color w:val="000000" w:themeColor="text1"/>
          <w:sz w:val="32"/>
          <w:szCs w:val="32"/>
          <w14:textFill>
            <w14:solidFill>
              <w14:schemeClr w14:val="tx1"/>
            </w14:solidFill>
          </w14:textFill>
        </w:rPr>
        <w:t>，进一步提升行业的社会形象。</w:t>
      </w:r>
    </w:p>
    <w:p>
      <w:pPr>
        <w:keepNext w:val="0"/>
        <w:keepLines w:val="0"/>
        <w:pageBreakBefore w:val="0"/>
        <w:kinsoku/>
        <w:wordWrap/>
        <w:topLinePunct w:val="0"/>
        <w:bidi w:val="0"/>
        <w:spacing w:line="336" w:lineRule="auto"/>
        <w:ind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w:t>
      </w:r>
      <w:r>
        <w:rPr>
          <w:rFonts w:hint="eastAsia" w:ascii="黑体" w:hAnsi="黑体" w:eastAsia="黑体" w:cs="黑体"/>
          <w:bCs/>
          <w:color w:val="000000" w:themeColor="text1"/>
          <w:sz w:val="32"/>
          <w:szCs w:val="32"/>
          <w:lang w:eastAsia="zh-CN"/>
          <w14:textFill>
            <w14:solidFill>
              <w14:schemeClr w14:val="tx1"/>
            </w14:solidFill>
          </w14:textFill>
        </w:rPr>
        <w:t>坚持不断提高</w:t>
      </w:r>
      <w:r>
        <w:rPr>
          <w:rFonts w:hint="eastAsia" w:ascii="黑体" w:hAnsi="黑体" w:eastAsia="黑体" w:cs="黑体"/>
          <w:bCs/>
          <w:color w:val="000000" w:themeColor="text1"/>
          <w:sz w:val="32"/>
          <w:szCs w:val="32"/>
          <w14:textFill>
            <w14:solidFill>
              <w14:schemeClr w14:val="tx1"/>
            </w14:solidFill>
          </w14:textFill>
        </w:rPr>
        <w:t>服务意识，提升协会服务水平</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一是</w:t>
      </w:r>
      <w:r>
        <w:rPr>
          <w:rFonts w:hint="eastAsia" w:ascii="仿宋_GB2312" w:hAnsi="仿宋_GB2312" w:eastAsia="仿宋_GB2312" w:cs="仿宋_GB2312"/>
          <w:bCs/>
          <w:color w:val="000000" w:themeColor="text1"/>
          <w:sz w:val="32"/>
          <w:szCs w:val="32"/>
          <w14:textFill>
            <w14:solidFill>
              <w14:schemeClr w14:val="tx1"/>
            </w14:solidFill>
          </w14:textFill>
        </w:rPr>
        <w:t>紧抓制度管理和能力建设。协会始终坚持制度化、规范化的发展方针，定期开展各项规章制度更新修订工作，以规章制度为工作准绳，提升协会工作的透明度和公信力。2022年，协会根据巡视整改工作要求制定、修订了</w:t>
      </w:r>
      <w:r>
        <w:rPr>
          <w:rFonts w:hint="eastAsia" w:ascii="仿宋_GB2312" w:hAnsi="仿宋_GB2312" w:eastAsia="仿宋_GB2312" w:cs="仿宋_GB2312"/>
          <w:sz w:val="32"/>
          <w:szCs w:val="32"/>
        </w:rPr>
        <w:t>《广东证券期货业协会采购管理办法》《广东证券期货业协会固定资产管理办法》《广东证券期货业协会住房补贴管理办法》《广东证券期货业协会财务管理制度》《广东证券期货业协会职工福利费管理办法》</w:t>
      </w:r>
      <w:r>
        <w:rPr>
          <w:rFonts w:hint="eastAsia" w:ascii="仿宋_GB2312" w:hAnsi="仿宋_GB2312" w:eastAsia="仿宋_GB2312" w:cs="仿宋_GB2312"/>
          <w:bCs/>
          <w:color w:val="000000" w:themeColor="text1"/>
          <w:sz w:val="32"/>
          <w:szCs w:val="32"/>
          <w14:textFill>
            <w14:solidFill>
              <w14:schemeClr w14:val="tx1"/>
            </w14:solidFill>
          </w14:textFill>
        </w:rPr>
        <w:t>等5项制度，另遵照规定程序对《广东证券期货业协会章程》《广东证券期货业协会差旅费管理办法》《广东证券期货业协会“三重一大”集体决策制度》等3项制度进行了修订完善，筑好制度藩篱，强化过程管理，进一步规范内部运行机制。同时，严格按照广东省民政厅有关要求开展评选评奖项目自查自纠工作及法人治理专项整治工作，确保协会各项工作依法、规范。</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bCs/>
          <w:color w:val="000000" w:themeColor="text1"/>
          <w:sz w:val="32"/>
          <w:szCs w:val="32"/>
          <w14:textFill>
            <w14:solidFill>
              <w14:schemeClr w14:val="tx1"/>
            </w14:solidFill>
          </w14:textFill>
        </w:rPr>
        <w:t>针对巡视整改指出</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14:textFill>
            <w14:solidFill>
              <w14:schemeClr w14:val="tx1"/>
            </w14:solidFill>
          </w14:textFill>
        </w:rPr>
        <w:t>问题，协会立刻组织专项研讨并牵头制定相应能力提升方案，直面问题与不足，落实整改促提升。不定期开展秘书处内部学习培训和专题分享会，提升职工业务能力和服务意识。</w:t>
      </w:r>
      <w:r>
        <w:rPr>
          <w:rFonts w:hint="eastAsia" w:ascii="仿宋_GB2312" w:hAnsi="仿宋_GB2312" w:eastAsia="仿宋_GB2312" w:cs="仿宋_GB2312"/>
          <w:b/>
          <w:color w:val="000000" w:themeColor="text1"/>
          <w:sz w:val="32"/>
          <w:szCs w:val="32"/>
          <w14:textFill>
            <w14:solidFill>
              <w14:schemeClr w14:val="tx1"/>
            </w14:solidFill>
          </w14:textFill>
        </w:rPr>
        <w:t>三是</w:t>
      </w:r>
      <w:r>
        <w:rPr>
          <w:rFonts w:hint="eastAsia" w:ascii="仿宋_GB2312" w:hAnsi="仿宋_GB2312" w:eastAsia="仿宋_GB2312" w:cs="仿宋_GB2312"/>
          <w:bCs/>
          <w:color w:val="000000" w:themeColor="text1"/>
          <w:sz w:val="32"/>
          <w:szCs w:val="32"/>
          <w14:textFill>
            <w14:solidFill>
              <w14:schemeClr w14:val="tx1"/>
            </w14:solidFill>
          </w14:textFill>
        </w:rPr>
        <w:t>完成协会信息系统升级改造项目，优化会员数据报送功能模块，将系统各项功能应用到实际工作中，实时解决会员有关问题，提升服务效能。</w:t>
      </w:r>
      <w:r>
        <w:rPr>
          <w:rFonts w:hint="eastAsia" w:ascii="仿宋_GB2312" w:hAnsi="仿宋_GB2312" w:eastAsia="仿宋_GB2312" w:cs="仿宋_GB2312"/>
          <w:b/>
          <w:color w:val="000000" w:themeColor="text1"/>
          <w:sz w:val="32"/>
          <w:szCs w:val="32"/>
          <w14:textFill>
            <w14:solidFill>
              <w14:schemeClr w14:val="tx1"/>
            </w14:solidFill>
          </w14:textFill>
        </w:rPr>
        <w:t>四是</w:t>
      </w:r>
      <w:r>
        <w:rPr>
          <w:rFonts w:hint="eastAsia" w:ascii="仿宋_GB2312" w:hAnsi="仿宋_GB2312" w:eastAsia="仿宋_GB2312" w:cs="仿宋_GB2312"/>
          <w:bCs/>
          <w:color w:val="000000" w:themeColor="text1"/>
          <w:sz w:val="32"/>
          <w:szCs w:val="32"/>
          <w14:textFill>
            <w14:solidFill>
              <w14:schemeClr w14:val="tx1"/>
            </w14:solidFill>
          </w14:textFill>
        </w:rPr>
        <w:t>加强会员信息管理。督促会员单位完善基本资料和重要岗位人员信息登记，并要求地方协会补交会员登记表并发放系统账号，整理完善会员单位结构树，设置理事会监事会成员标记及群组，畅通会员信息管理，提升传导效能。</w:t>
      </w:r>
      <w:r>
        <w:rPr>
          <w:rFonts w:hint="eastAsia" w:ascii="仿宋_GB2312" w:hAnsi="仿宋_GB2312" w:eastAsia="仿宋_GB2312" w:cs="仿宋_GB2312"/>
          <w:b/>
          <w:bCs/>
          <w:color w:val="000000" w:themeColor="text1"/>
          <w:sz w:val="32"/>
          <w:szCs w:val="32"/>
          <w14:textFill>
            <w14:solidFill>
              <w14:schemeClr w14:val="tx1"/>
            </w14:solidFill>
          </w14:textFill>
        </w:rPr>
        <w:t>五是</w:t>
      </w:r>
      <w:r>
        <w:rPr>
          <w:rFonts w:hint="eastAsia" w:ascii="仿宋_GB2312" w:hAnsi="仿宋_GB2312" w:eastAsia="仿宋_GB2312" w:cs="仿宋_GB2312"/>
          <w:color w:val="000000" w:themeColor="text1"/>
          <w:sz w:val="32"/>
          <w:szCs w:val="32"/>
          <w14:textFill>
            <w14:solidFill>
              <w14:schemeClr w14:val="tx1"/>
            </w14:solidFill>
          </w14:textFill>
        </w:rPr>
        <w:t>开展文体交流活动。为庆祝中国共产主义共青团成立100周年，与广东证监局团委一同开展“百年奋斗路 青春心向党”等系列主题活动。</w:t>
      </w:r>
    </w:p>
    <w:p>
      <w:pPr>
        <w:keepNext w:val="0"/>
        <w:keepLines w:val="0"/>
        <w:pageBreakBefore w:val="0"/>
        <w:kinsoku/>
        <w:wordWrap/>
        <w:topLinePunct w:val="0"/>
        <w:bidi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协会明确职能定位、强化责任担当，把党建和业务紧密结合，统筹推进疫情防控，在推动行业夯实发展基础、提升自律管理质量等方面开展了一系列会员服务工作，各项重点工作取得积极成效，这离不开广东证监局的坚强领导，离不开广大会员尤其是理事会和监事会的全力支持。</w:t>
      </w:r>
    </w:p>
    <w:p>
      <w:pPr>
        <w:keepNext w:val="0"/>
        <w:keepLines w:val="0"/>
        <w:pageBreakBefore w:val="0"/>
        <w:kinsoku/>
        <w:wordWrap/>
        <w:topLinePunct w:val="0"/>
        <w:autoSpaceDE w:val="0"/>
        <w:bidi w:val="0"/>
        <w:adjustRightInd w:val="0"/>
        <w:snapToGrid w:val="0"/>
        <w:spacing w:line="336" w:lineRule="auto"/>
        <w:ind w:firstLine="640" w:firstLineChars="200"/>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rPr>
        <w:t>2023年，协会将继续坚持以习近平新时代中国特色社会主义思想为指导，贯彻落实党的二十大</w:t>
      </w:r>
      <w:r>
        <w:rPr>
          <w:rFonts w:hint="eastAsia" w:ascii="仿宋_GB2312" w:hAnsi="仿宋_GB2312" w:eastAsia="仿宋_GB2312" w:cs="仿宋_GB2312"/>
          <w:sz w:val="32"/>
          <w:szCs w:val="32"/>
          <w:lang w:val="en-US" w:eastAsia="zh-CN"/>
        </w:rPr>
        <w:t>和中央经济工作</w:t>
      </w:r>
      <w:r>
        <w:rPr>
          <w:rFonts w:hint="eastAsia" w:ascii="仿宋_GB2312" w:hAnsi="仿宋_GB2312" w:eastAsia="仿宋_GB2312" w:cs="仿宋_GB2312"/>
          <w:sz w:val="32"/>
          <w:szCs w:val="32"/>
        </w:rPr>
        <w:t>会议精神，</w:t>
      </w:r>
      <w:r>
        <w:rPr>
          <w:rFonts w:hint="eastAsia" w:ascii="仿宋_GB2312" w:hAnsi="仿宋_GB2312" w:eastAsia="仿宋_GB2312" w:cs="仿宋_GB2312"/>
          <w:sz w:val="32"/>
          <w:szCs w:val="32"/>
          <w:lang w:val="en-US" w:eastAsia="zh-CN"/>
        </w:rPr>
        <w:t>抓住广东省高质量发展契机，围绕加强自律管理与服务行业发展，紧密配合监管工作大局，</w:t>
      </w:r>
      <w:r>
        <w:rPr>
          <w:rFonts w:hint="eastAsia" w:ascii="仿宋_GB2312" w:hAnsi="仿宋_GB2312" w:eastAsia="仿宋_GB2312" w:cs="仿宋_GB2312"/>
          <w:sz w:val="32"/>
          <w:szCs w:val="32"/>
        </w:rPr>
        <w:t>重点做好以下几项工作：</w:t>
      </w:r>
    </w:p>
    <w:p>
      <w:pPr>
        <w:keepNext w:val="0"/>
        <w:keepLines w:val="0"/>
        <w:pageBreakBefore w:val="0"/>
        <w:kinsoku/>
        <w:wordWrap/>
        <w:topLinePunct w:val="0"/>
        <w:autoSpaceDE w:val="0"/>
        <w:autoSpaceDN w:val="0"/>
        <w:bidi w:val="0"/>
        <w:adjustRightInd w:val="0"/>
        <w:snapToGrid w:val="0"/>
        <w:spacing w:line="336" w:lineRule="auto"/>
        <w:ind w:firstLine="640" w:firstLineChars="200"/>
        <w:textAlignment w:val="auto"/>
        <w:rPr>
          <w:rFonts w:hint="eastAsia" w:ascii="楷体" w:hAnsi="楷体" w:eastAsia="楷体" w:cs="楷体"/>
          <w:b w:val="0"/>
          <w:bCs w:val="0"/>
          <w:sz w:val="32"/>
          <w:szCs w:val="32"/>
          <w:lang w:val="en-US" w:eastAsia="zh-CN"/>
        </w:rPr>
      </w:pPr>
      <w:r>
        <w:rPr>
          <w:rFonts w:hint="eastAsia" w:ascii="黑体" w:hAnsi="黑体" w:eastAsia="黑体" w:cs="黑体"/>
          <w:b w:val="0"/>
          <w:bCs w:val="0"/>
          <w:sz w:val="32"/>
          <w:szCs w:val="32"/>
          <w:lang w:val="en-US" w:eastAsia="zh-CN"/>
        </w:rPr>
        <w:t>一、多措并举推进自律管理工作，深化行业文化建设</w:t>
      </w:r>
    </w:p>
    <w:p>
      <w:pPr>
        <w:keepNext w:val="0"/>
        <w:keepLines w:val="0"/>
        <w:pageBreakBefore w:val="0"/>
        <w:kinsoku/>
        <w:wordWrap/>
        <w:topLinePunct w:val="0"/>
        <w:autoSpaceDE w:val="0"/>
        <w:autoSpaceDN w:val="0"/>
        <w:bidi w:val="0"/>
        <w:adjustRightInd w:val="0"/>
        <w:snapToGrid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（一）进一步提升案例警示教育效果。</w:t>
      </w:r>
      <w:r>
        <w:rPr>
          <w:rFonts w:hint="eastAsia" w:ascii="仿宋_GB2312" w:hAnsi="仿宋_GB2312" w:eastAsia="仿宋_GB2312" w:cs="仿宋_GB2312"/>
          <w:sz w:val="32"/>
          <w:szCs w:val="32"/>
        </w:rPr>
        <w:t>广泛收集法院判决书，以及监管部门行政处罚、行政监管措施，分类分层编写警示案例，通过官网、公众号、宣传手册、合规提示函、片区宣讲活动等多种途径，向市场主体及相关人员推送、展示。组织</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全体从业人员</w:t>
      </w:r>
      <w:r>
        <w:rPr>
          <w:rFonts w:hint="eastAsia" w:ascii="仿宋_GB2312" w:hAnsi="仿宋_GB2312" w:eastAsia="仿宋_GB2312" w:cs="仿宋_GB2312"/>
          <w:sz w:val="32"/>
          <w:szCs w:val="32"/>
          <w:lang w:val="en-US" w:eastAsia="zh-CN"/>
        </w:rPr>
        <w:t>在协会信息管理系统</w:t>
      </w:r>
      <w:r>
        <w:rPr>
          <w:rFonts w:hint="eastAsia" w:ascii="仿宋_GB2312" w:hAnsi="仿宋_GB2312" w:eastAsia="仿宋_GB2312" w:cs="仿宋_GB2312"/>
          <w:sz w:val="32"/>
          <w:szCs w:val="32"/>
        </w:rPr>
        <w:t>注册账号并标识岗位，按照案例违法违规事实，向同岗位从业人员</w:t>
      </w:r>
      <w:r>
        <w:rPr>
          <w:rFonts w:hint="eastAsia" w:ascii="仿宋_GB2312" w:hAnsi="仿宋_GB2312" w:eastAsia="仿宋_GB2312" w:cs="仿宋_GB2312"/>
          <w:sz w:val="32"/>
          <w:szCs w:val="32"/>
          <w:lang w:val="en-US" w:eastAsia="zh-CN"/>
        </w:rPr>
        <w:t>推送</w:t>
      </w:r>
      <w:r>
        <w:rPr>
          <w:rFonts w:hint="eastAsia" w:ascii="仿宋_GB2312" w:hAnsi="仿宋_GB2312" w:eastAsia="仿宋_GB2312" w:cs="仿宋_GB2312"/>
          <w:sz w:val="32"/>
          <w:szCs w:val="32"/>
        </w:rPr>
        <w:t>，着力提高警示教育的精准度。</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（二）促进行业加强声誉信息管理。</w:t>
      </w:r>
      <w:r>
        <w:rPr>
          <w:rFonts w:hint="eastAsia" w:ascii="仿宋_GB2312" w:hAnsi="仿宋_GB2312" w:eastAsia="仿宋_GB2312" w:cs="仿宋_GB2312"/>
          <w:sz w:val="32"/>
          <w:szCs w:val="32"/>
        </w:rPr>
        <w:t>在行业内通报查实投诉举报量大幅增长或与客户数量增长不成正比、拒不履行法定纠纷调解义务、未妥善处理直转诉求的</w:t>
      </w:r>
      <w:r>
        <w:rPr>
          <w:rFonts w:hint="eastAsia" w:ascii="仿宋_GB2312" w:hAnsi="仿宋_GB2312" w:eastAsia="仿宋_GB2312" w:cs="仿宋_GB2312"/>
          <w:sz w:val="32"/>
          <w:szCs w:val="32"/>
          <w:lang w:val="en-US" w:eastAsia="zh-CN"/>
        </w:rPr>
        <w:t>会员</w:t>
      </w:r>
      <w:r>
        <w:rPr>
          <w:rFonts w:hint="eastAsia" w:ascii="仿宋_GB2312" w:hAnsi="仿宋_GB2312" w:eastAsia="仿宋_GB2312" w:cs="仿宋_GB2312"/>
          <w:sz w:val="32"/>
          <w:szCs w:val="32"/>
        </w:rPr>
        <w:t>；优化会员系统诚信信息库功能，录入从业人员行政处罚或被采取行政监管措施的记录，鼓励会员录入从业人员不诚信或违规展业行为，供全体会员录用从业人员时查询使用。</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（三）做好2023年证券公司分支机构自律检查工作。</w:t>
      </w:r>
      <w:r>
        <w:rPr>
          <w:rFonts w:hint="eastAsia" w:ascii="仿宋_GB2312" w:hAnsi="仿宋_GB2312" w:eastAsia="仿宋_GB2312" w:cs="仿宋_GB2312"/>
          <w:sz w:val="32"/>
          <w:szCs w:val="32"/>
        </w:rPr>
        <w:t>坚持以问题导向、随机结合方式选定现场检查对象，加大检查力度，归纳分析检查中发现新问题、新情况、新做法，形成报告报送广东证监局并在行业内共享</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val="0"/>
        <w:bidi w:val="0"/>
        <w:adjustRightInd w:val="0"/>
        <w:snapToGrid w:val="0"/>
        <w:spacing w:line="336" w:lineRule="auto"/>
        <w:ind w:firstLine="643" w:firstLineChars="200"/>
        <w:textAlignment w:val="auto"/>
        <w:rPr>
          <w:rFonts w:hint="eastAsia" w:ascii="仿宋_GB2312" w:hAnsi="仿宋_GB2312" w:eastAsia="仿宋_GB2312" w:cs="仿宋_GB2312"/>
          <w:sz w:val="32"/>
          <w:szCs w:val="32"/>
          <w:u w:val="none"/>
          <w:lang w:eastAsia="zh-CN"/>
        </w:rPr>
      </w:pPr>
      <w:r>
        <w:rPr>
          <w:rFonts w:hint="eastAsia" w:ascii="楷体_GB2312" w:hAnsi="楷体_GB2312" w:eastAsia="楷体_GB2312" w:cs="楷体_GB2312"/>
          <w:b/>
          <w:bCs/>
          <w:sz w:val="32"/>
          <w:szCs w:val="32"/>
          <w:lang w:val="en-US" w:eastAsia="zh-CN"/>
        </w:rPr>
        <w:t>（四）加强行业合规文化建设。</w:t>
      </w:r>
      <w:r>
        <w:rPr>
          <w:rFonts w:hint="eastAsia" w:ascii="仿宋_GB2312" w:hAnsi="仿宋_GB2312" w:eastAsia="仿宋_GB2312" w:cs="仿宋_GB2312"/>
          <w:sz w:val="32"/>
          <w:szCs w:val="32"/>
          <w:u w:val="none"/>
        </w:rPr>
        <w:t>开展合规交流沙龙，推动行业内合规管理经验交流，深植合规文化。选取合规工作做法有特点、管理有成效的分支机构作主题经验介绍，带动辖区证券分支机构整体合规水平提升</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eastAsia="zh-CN"/>
        </w:rPr>
        <w:t>正面典型的</w:t>
      </w:r>
      <w:r>
        <w:rPr>
          <w:rFonts w:hint="eastAsia" w:ascii="仿宋_GB2312" w:hAnsi="仿宋_GB2312" w:eastAsia="仿宋_GB2312" w:cs="仿宋_GB2312"/>
          <w:sz w:val="32"/>
          <w:szCs w:val="32"/>
        </w:rPr>
        <w:t>示范引领作用</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val="0"/>
        <w:bidi w:val="0"/>
        <w:adjustRightInd w:val="0"/>
        <w:snapToGrid w:val="0"/>
        <w:spacing w:line="336" w:lineRule="auto"/>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二、深入开展行业调研，为行业高质量发展建言献策</w:t>
      </w:r>
    </w:p>
    <w:p>
      <w:pPr>
        <w:keepNext w:val="0"/>
        <w:keepLines w:val="0"/>
        <w:pageBreakBefore w:val="0"/>
        <w:kinsoku/>
        <w:wordWrap/>
        <w:topLinePunct w:val="0"/>
        <w:autoSpaceDE w:val="0"/>
        <w:bidi w:val="0"/>
        <w:adjustRightInd w:val="0"/>
        <w:snapToGrid w:val="0"/>
        <w:spacing w:line="336"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lang w:val="en-US" w:eastAsia="zh-CN"/>
        </w:rPr>
        <w:t>（一）开展证券经营机构差异化发展调研。</w:t>
      </w:r>
      <w:r>
        <w:rPr>
          <w:rFonts w:hint="eastAsia" w:ascii="仿宋_GB2312" w:hAnsi="仿宋_GB2312" w:eastAsia="仿宋_GB2312" w:cs="仿宋_GB2312"/>
          <w:b w:val="0"/>
          <w:bCs w:val="0"/>
          <w:sz w:val="32"/>
          <w:szCs w:val="32"/>
          <w:lang w:val="en-US" w:eastAsia="zh-CN"/>
        </w:rPr>
        <w:t>依</w:t>
      </w:r>
      <w:r>
        <w:rPr>
          <w:rFonts w:hint="eastAsia" w:ascii="仿宋_GB2312" w:hAnsi="仿宋_GB2312" w:eastAsia="仿宋_GB2312" w:cs="仿宋_GB2312"/>
          <w:sz w:val="32"/>
          <w:szCs w:val="32"/>
          <w:lang w:val="en-US" w:eastAsia="zh-CN"/>
        </w:rPr>
        <w:t>托协会发展委员会力量，以委员会更名为“高质量发展委员会”为契机，围绕加强行业深度研究为目标，重点开展证券经营机构差异化发展情况调研，通过走访辖区有代表性证券经营机构会员、</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赴</w:t>
      </w:r>
      <w:r>
        <w:rPr>
          <w:rFonts w:hint="eastAsia" w:ascii="仿宋_GB2312" w:hAnsi="仿宋_GB2312" w:eastAsia="仿宋_GB2312" w:cs="仿宋_GB2312"/>
          <w:sz w:val="32"/>
          <w:szCs w:val="32"/>
        </w:rPr>
        <w:t>辖外特色</w:t>
      </w:r>
      <w:r>
        <w:rPr>
          <w:rFonts w:hint="eastAsia" w:ascii="仿宋_GB2312" w:hAnsi="仿宋_GB2312" w:eastAsia="仿宋_GB2312" w:cs="仿宋_GB2312"/>
          <w:sz w:val="32"/>
          <w:szCs w:val="32"/>
          <w:lang w:val="en-US" w:eastAsia="zh-CN"/>
        </w:rPr>
        <w:t>证券经营</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highlight w:val="none"/>
          <w:lang w:val="en-US" w:eastAsia="zh-CN"/>
        </w:rPr>
        <w:t>学习</w:t>
      </w:r>
      <w:r>
        <w:rPr>
          <w:rFonts w:hint="eastAsia" w:ascii="仿宋_GB2312" w:hAnsi="仿宋_GB2312" w:eastAsia="仿宋_GB2312" w:cs="仿宋_GB2312"/>
          <w:sz w:val="32"/>
          <w:szCs w:val="32"/>
          <w:highlight w:val="none"/>
        </w:rPr>
        <w:t>交流</w:t>
      </w:r>
      <w:r>
        <w:rPr>
          <w:rFonts w:hint="eastAsia" w:ascii="仿宋_GB2312" w:hAnsi="仿宋_GB2312" w:eastAsia="仿宋_GB2312" w:cs="仿宋_GB2312"/>
          <w:sz w:val="32"/>
          <w:szCs w:val="32"/>
          <w:highlight w:val="none"/>
          <w:lang w:val="en-US" w:eastAsia="zh-CN"/>
        </w:rPr>
        <w:t>等方式，</w:t>
      </w:r>
      <w:r>
        <w:rPr>
          <w:rFonts w:hint="eastAsia" w:ascii="仿宋_GB2312" w:hAnsi="仿宋_GB2312" w:eastAsia="仿宋_GB2312" w:cs="仿宋_GB2312"/>
          <w:sz w:val="32"/>
          <w:szCs w:val="32"/>
          <w:highlight w:val="none"/>
        </w:rPr>
        <w:t>探索差异化发展的“广东模式”</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（二）以交流促发展，推动法人证券期货公司进一步提升公司治理水平。</w:t>
      </w:r>
      <w:r>
        <w:rPr>
          <w:rFonts w:hint="eastAsia" w:ascii="仿宋_GB2312" w:hAnsi="仿宋_GB2312" w:eastAsia="仿宋_GB2312" w:cs="仿宋_GB2312"/>
          <w:sz w:val="32"/>
          <w:szCs w:val="32"/>
          <w:lang w:val="en-US" w:eastAsia="zh-CN"/>
        </w:rPr>
        <w:t>配合广东局组织辖区中小券商实控人、董监高赴辖区外头部证券公司开展交流探讨。创造条件建立</w:t>
      </w:r>
      <w:r>
        <w:rPr>
          <w:rFonts w:hint="eastAsia" w:ascii="仿宋_GB2312" w:hAnsi="仿宋_GB2312" w:eastAsia="仿宋_GB2312" w:cs="仿宋_GB2312"/>
          <w:sz w:val="32"/>
          <w:szCs w:val="32"/>
        </w:rPr>
        <w:t>与地方金融局、国资委的沟通</w:t>
      </w:r>
      <w:r>
        <w:rPr>
          <w:rFonts w:hint="eastAsia" w:ascii="仿宋_GB2312" w:hAnsi="仿宋_GB2312" w:eastAsia="仿宋_GB2312" w:cs="仿宋_GB2312"/>
          <w:sz w:val="32"/>
          <w:szCs w:val="32"/>
          <w:lang w:val="en-US" w:eastAsia="zh-CN"/>
        </w:rPr>
        <w:t>联系</w:t>
      </w:r>
      <w:r>
        <w:rPr>
          <w:rFonts w:hint="eastAsia" w:ascii="仿宋_GB2312" w:hAnsi="仿宋_GB2312" w:eastAsia="仿宋_GB2312" w:cs="仿宋_GB2312"/>
          <w:sz w:val="32"/>
          <w:szCs w:val="32"/>
        </w:rPr>
        <w:t>，推动地方政府支持国有</w:t>
      </w:r>
      <w:r>
        <w:rPr>
          <w:rFonts w:hint="eastAsia" w:ascii="仿宋_GB2312" w:hAnsi="仿宋_GB2312" w:eastAsia="仿宋_GB2312" w:cs="仿宋_GB2312"/>
          <w:sz w:val="32"/>
          <w:szCs w:val="32"/>
          <w:lang w:val="en-US" w:eastAsia="zh-CN"/>
        </w:rPr>
        <w:t>证券经营</w:t>
      </w:r>
      <w:r>
        <w:rPr>
          <w:rFonts w:hint="eastAsia" w:ascii="仿宋_GB2312" w:hAnsi="仿宋_GB2312" w:eastAsia="仿宋_GB2312" w:cs="仿宋_GB2312"/>
          <w:sz w:val="32"/>
          <w:szCs w:val="32"/>
        </w:rPr>
        <w:t>机构提升资本实力，推进市场化管理模式转变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形成更具活力的管理体系和更有吸引力的薪酬体系。</w:t>
      </w:r>
      <w:r>
        <w:rPr>
          <w:rFonts w:hint="eastAsia" w:ascii="仿宋_GB2312" w:hAnsi="仿宋_GB2312" w:eastAsia="仿宋_GB2312" w:cs="仿宋_GB2312"/>
          <w:sz w:val="32"/>
          <w:szCs w:val="32"/>
          <w:lang w:val="en-US" w:eastAsia="zh-CN"/>
        </w:rPr>
        <w:t>引导辖区法人证券期货公司将</w:t>
      </w:r>
      <w:r>
        <w:rPr>
          <w:rFonts w:hint="eastAsia" w:ascii="仿宋_GB2312" w:hAnsi="仿宋_GB2312" w:eastAsia="仿宋_GB2312" w:cs="仿宋_GB2312"/>
          <w:sz w:val="32"/>
          <w:szCs w:val="32"/>
        </w:rPr>
        <w:t>ESG纳入公司管理，</w:t>
      </w:r>
      <w:r>
        <w:rPr>
          <w:rFonts w:hint="eastAsia" w:ascii="仿宋_GB2312" w:hAnsi="仿宋_GB2312" w:eastAsia="仿宋_GB2312" w:cs="仿宋_GB2312"/>
          <w:sz w:val="32"/>
          <w:szCs w:val="32"/>
          <w:lang w:val="en-US" w:eastAsia="zh-CN"/>
        </w:rPr>
        <w:t>开展相关交流，支持并推动相关会员</w:t>
      </w:r>
      <w:r>
        <w:rPr>
          <w:rFonts w:hint="eastAsia" w:ascii="仿宋_GB2312" w:hAnsi="仿宋_GB2312" w:eastAsia="仿宋_GB2312" w:cs="仿宋_GB2312"/>
          <w:sz w:val="32"/>
          <w:szCs w:val="32"/>
        </w:rPr>
        <w:t>在实际业务中以ESG为导向，引导资源和资</w:t>
      </w:r>
      <w:bookmarkStart w:id="0" w:name="_GoBack"/>
      <w:bookmarkEnd w:id="0"/>
      <w:r>
        <w:rPr>
          <w:rFonts w:hint="eastAsia" w:ascii="仿宋_GB2312" w:hAnsi="仿宋_GB2312" w:eastAsia="仿宋_GB2312" w:cs="仿宋_GB2312"/>
          <w:sz w:val="32"/>
          <w:szCs w:val="32"/>
        </w:rPr>
        <w:t>金进入符合可持续发展理念的行业，为实现实体经济高质量发展贡献力量。</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（三）跟踪调研《辖区高龄投资者服务指南》实施情况。</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证券公司</w:t>
      </w:r>
      <w:r>
        <w:rPr>
          <w:rFonts w:hint="eastAsia" w:ascii="仿宋_GB2312" w:hAnsi="仿宋_GB2312" w:eastAsia="仿宋_GB2312" w:cs="仿宋_GB2312"/>
          <w:sz w:val="32"/>
          <w:szCs w:val="32"/>
        </w:rPr>
        <w:t>分类评价现场检查工作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实地调研《广东辖区证券经营机构高龄投资者服务指南》实施情况，分析总结实施过程存在的问题及难点，分享成熟经验做法，提升辖区行业适老服务水平。</w:t>
      </w:r>
    </w:p>
    <w:p>
      <w:pPr>
        <w:keepNext w:val="0"/>
        <w:keepLines w:val="0"/>
        <w:pageBreakBefore w:val="0"/>
        <w:kinsoku/>
        <w:wordWrap/>
        <w:topLinePunct w:val="0"/>
        <w:bidi w:val="0"/>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三、深挖协会服务功能，进一步加强协会自身能力建设</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（一）推动行业财富管理业务稳健发展。</w:t>
      </w:r>
      <w:r>
        <w:rPr>
          <w:rFonts w:hint="eastAsia" w:ascii="仿宋_GB2312" w:hAnsi="仿宋_GB2312" w:eastAsia="仿宋_GB2312" w:cs="仿宋_GB2312"/>
          <w:sz w:val="32"/>
          <w:szCs w:val="32"/>
          <w:lang w:val="en-US" w:eastAsia="zh-CN"/>
        </w:rPr>
        <w:t>开展行业财富管理系列宣传工作，向社会公众充分展现辖区证券行业在满足群众财富管理需求方面的人才优势和专业优势等，为行业财富管理业务发展营造良好的社会舆论环境。组织开展基金投顾业务交流活动，邀</w:t>
      </w:r>
      <w:r>
        <w:rPr>
          <w:rFonts w:hint="eastAsia" w:ascii="仿宋_GB2312" w:hAnsi="仿宋_GB2312" w:eastAsia="仿宋_GB2312" w:cs="仿宋_GB2312"/>
          <w:sz w:val="32"/>
          <w:szCs w:val="32"/>
        </w:rPr>
        <w:t>请监管部门介绍发展情况、试点机构分享</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经验，交流</w:t>
      </w:r>
      <w:r>
        <w:rPr>
          <w:rFonts w:hint="eastAsia" w:ascii="仿宋_GB2312" w:hAnsi="仿宋_GB2312" w:eastAsia="仿宋_GB2312" w:cs="仿宋_GB2312"/>
          <w:sz w:val="32"/>
          <w:szCs w:val="32"/>
          <w:lang w:val="en-US" w:eastAsia="zh-CN"/>
        </w:rPr>
        <w:t>业务发展过程中</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问题、解决方案等</w:t>
      </w:r>
      <w:r>
        <w:rPr>
          <w:rFonts w:hint="eastAsia" w:ascii="仿宋_GB2312" w:hAnsi="仿宋_GB2312" w:eastAsia="仿宋_GB2312" w:cs="仿宋_GB2312"/>
          <w:sz w:val="32"/>
          <w:szCs w:val="32"/>
          <w:lang w:val="en-US" w:eastAsia="zh-CN"/>
        </w:rPr>
        <w:t>。</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（二）扎实推进政策解读和业务培训工作。</w:t>
      </w:r>
      <w:r>
        <w:rPr>
          <w:rFonts w:hint="eastAsia" w:ascii="仿宋_GB2312" w:hAnsi="仿宋_GB2312" w:eastAsia="仿宋_GB2312" w:cs="仿宋_GB2312"/>
          <w:sz w:val="32"/>
          <w:szCs w:val="32"/>
          <w:lang w:val="en-US" w:eastAsia="zh-CN"/>
        </w:rPr>
        <w:t>组织开展关于《证券经纪业务管理办法》的解读和研讨工作，努力解答行业疑惑。以投资银行委员会为依托，针对辖区投资银行业务人员（含承揽与承做）开展相关业务培训，推动行业更好适应全面实行股票发行注册制改革，着力提升投行价值发现能力和风险识别能力，提高服务实体经济质量。</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（三）支持期货公司会员发展。</w:t>
      </w:r>
      <w:r>
        <w:rPr>
          <w:rFonts w:hint="eastAsia" w:ascii="仿宋_GB2312" w:hAnsi="仿宋_GB2312" w:eastAsia="仿宋_GB2312" w:cs="仿宋_GB2312"/>
          <w:b w:val="0"/>
          <w:bCs w:val="0"/>
          <w:sz w:val="32"/>
          <w:szCs w:val="32"/>
          <w:lang w:val="en-US" w:eastAsia="zh-CN"/>
        </w:rPr>
        <w:t>组</w:t>
      </w:r>
      <w:r>
        <w:rPr>
          <w:rFonts w:hint="eastAsia" w:ascii="仿宋_GB2312" w:hAnsi="仿宋_GB2312" w:eastAsia="仿宋_GB2312" w:cs="仿宋_GB2312"/>
          <w:sz w:val="32"/>
          <w:szCs w:val="32"/>
          <w:lang w:val="en-US" w:eastAsia="zh-CN"/>
        </w:rPr>
        <w:t>织走进优秀期货公司交流；推动中期协期货及衍生品服务生猪产业试点工作落地，</w:t>
      </w:r>
      <w:r>
        <w:rPr>
          <w:rFonts w:hint="eastAsia" w:ascii="仿宋_GB2312" w:hAnsi="仿宋_GB2312" w:eastAsia="仿宋_GB2312" w:cs="仿宋_GB2312"/>
          <w:sz w:val="32"/>
          <w:szCs w:val="32"/>
        </w:rPr>
        <w:t>探索生猪</w:t>
      </w:r>
      <w:r>
        <w:rPr>
          <w:rFonts w:hint="eastAsia" w:ascii="仿宋_GB2312" w:hAnsi="仿宋_GB2312" w:eastAsia="仿宋_GB2312" w:cs="仿宋_GB2312"/>
          <w:sz w:val="32"/>
          <w:szCs w:val="32"/>
          <w:highlight w:val="none"/>
        </w:rPr>
        <w:t>产业链风险管理新道路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联合</w:t>
      </w:r>
      <w:r>
        <w:rPr>
          <w:rFonts w:hint="eastAsia" w:ascii="仿宋_GB2312" w:hAnsi="仿宋_GB2312" w:eastAsia="仿宋_GB2312" w:cs="仿宋_GB2312"/>
          <w:sz w:val="32"/>
          <w:szCs w:val="32"/>
          <w:highlight w:val="none"/>
          <w:lang w:val="en-US" w:eastAsia="zh-CN"/>
        </w:rPr>
        <w:t>广州期货交易所、广东上市公司协</w:t>
      </w:r>
      <w:r>
        <w:rPr>
          <w:rFonts w:hint="eastAsia" w:ascii="仿宋_GB2312" w:hAnsi="仿宋_GB2312" w:eastAsia="仿宋_GB2312" w:cs="仿宋_GB2312"/>
          <w:sz w:val="32"/>
          <w:szCs w:val="32"/>
          <w:lang w:val="en-US" w:eastAsia="zh-CN"/>
        </w:rPr>
        <w:t>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广东基金业协会</w:t>
      </w:r>
      <w:r>
        <w:rPr>
          <w:rFonts w:hint="eastAsia" w:ascii="仿宋_GB2312" w:hAnsi="仿宋_GB2312" w:eastAsia="仿宋_GB2312" w:cs="仿宋_GB2312"/>
          <w:sz w:val="32"/>
          <w:szCs w:val="32"/>
        </w:rPr>
        <w:t>开展期货服务实体经济系列</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活动，帮助实体企业更好了解期货市场，把握政策优势，规范运用套期保值等金融衍生工具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积极宣传期货市场功能。</w:t>
      </w:r>
    </w:p>
    <w:p>
      <w:pPr>
        <w:keepNext w:val="0"/>
        <w:keepLines w:val="0"/>
        <w:pageBreakBefore w:val="0"/>
        <w:kinsoku/>
        <w:wordWrap/>
        <w:topLinePunct w:val="0"/>
        <w:bidi w:val="0"/>
        <w:spacing w:line="336" w:lineRule="auto"/>
        <w:ind w:firstLine="643" w:firstLineChars="200"/>
        <w:textAlignment w:val="auto"/>
        <w:rPr>
          <w:rFonts w:hint="eastAsia" w:ascii="仿宋_GB2312" w:hAnsi="仿宋" w:eastAsia="仿宋_GB2312"/>
          <w:b w:val="0"/>
          <w:bCs w:val="0"/>
          <w:color w:val="auto"/>
          <w:sz w:val="32"/>
          <w:szCs w:val="32"/>
          <w:lang w:eastAsia="zh-CN"/>
        </w:rPr>
      </w:pPr>
      <w:r>
        <w:rPr>
          <w:rFonts w:hint="eastAsia" w:ascii="楷体_GB2312" w:hAnsi="楷体_GB2312" w:eastAsia="楷体_GB2312" w:cs="楷体_GB2312"/>
          <w:b/>
          <w:bCs/>
          <w:sz w:val="32"/>
          <w:szCs w:val="32"/>
          <w:lang w:val="en-US" w:eastAsia="zh-CN"/>
        </w:rPr>
        <w:t>（四）加强和完善协会专业委员会建设。</w:t>
      </w:r>
      <w:r>
        <w:rPr>
          <w:rFonts w:hint="eastAsia" w:ascii="仿宋_GB2312" w:hAnsi="楷体" w:eastAsia="仿宋_GB2312" w:cstheme="minorBidi"/>
          <w:bCs/>
          <w:color w:val="000000" w:themeColor="text1"/>
          <w:sz w:val="32"/>
          <w:szCs w:val="32"/>
          <w:lang w:eastAsia="zh-CN"/>
          <w14:textFill>
            <w14:solidFill>
              <w14:schemeClr w14:val="tx1"/>
            </w14:solidFill>
          </w14:textFill>
        </w:rPr>
        <w:t>设立金融科技委员会</w:t>
      </w:r>
      <w:r>
        <w:rPr>
          <w:rFonts w:hint="eastAsia" w:ascii="仿宋_GB2312" w:hAnsi="楷体" w:eastAsia="仿宋_GB2312" w:cstheme="minorBidi"/>
          <w:bCs/>
          <w:color w:val="000000" w:themeColor="text1"/>
          <w:sz w:val="32"/>
          <w:szCs w:val="32"/>
          <w14:textFill>
            <w14:solidFill>
              <w14:schemeClr w14:val="tx1"/>
            </w14:solidFill>
          </w14:textFill>
        </w:rPr>
        <w:t>，推动广州资本市场金融科技创新第一批试点项目落地和第二批项目储备</w:t>
      </w:r>
      <w:r>
        <w:rPr>
          <w:rFonts w:hint="eastAsia" w:ascii="仿宋_GB2312" w:hAnsi="楷体" w:eastAsia="仿宋_GB2312" w:cstheme="minorBidi"/>
          <w:bCs/>
          <w:color w:val="000000" w:themeColor="text1"/>
          <w:sz w:val="32"/>
          <w:szCs w:val="32"/>
          <w:lang w:eastAsia="zh-CN"/>
          <w14:textFill>
            <w14:solidFill>
              <w14:schemeClr w14:val="tx1"/>
            </w14:solidFill>
          </w14:textFill>
        </w:rPr>
        <w:t>。</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扩充</w:t>
      </w:r>
      <w:r>
        <w:rPr>
          <w:rFonts w:hint="eastAsia" w:ascii="仿宋_GB2312" w:hAnsi="仿宋" w:eastAsia="仿宋_GB2312" w:cstheme="minorBidi"/>
          <w:sz w:val="32"/>
          <w:szCs w:val="32"/>
        </w:rPr>
        <w:t>投行委员会</w:t>
      </w:r>
      <w:r>
        <w:rPr>
          <w:rFonts w:hint="eastAsia" w:ascii="仿宋_GB2312" w:hAnsi="仿宋" w:eastAsia="仿宋_GB2312" w:cstheme="minorBidi"/>
          <w:sz w:val="32"/>
          <w:szCs w:val="32"/>
          <w:lang w:val="en-US" w:eastAsia="zh-CN"/>
        </w:rPr>
        <w:t>范围，</w:t>
      </w:r>
      <w:r>
        <w:rPr>
          <w:rFonts w:hint="eastAsia" w:ascii="仿宋_GB2312" w:hAnsi="仿宋" w:eastAsia="仿宋_GB2312" w:cstheme="minorBidi"/>
          <w:sz w:val="32"/>
          <w:szCs w:val="32"/>
        </w:rPr>
        <w:t>将服务北交所的投行团队纳入，对其执业的规范性提供指导</w:t>
      </w:r>
      <w:r>
        <w:rPr>
          <w:rFonts w:hint="eastAsia" w:ascii="仿宋_GB2312" w:hAnsi="仿宋" w:eastAsia="仿宋_GB2312"/>
          <w:b w:val="0"/>
          <w:bCs w:val="0"/>
          <w:color w:val="auto"/>
          <w:sz w:val="32"/>
          <w:szCs w:val="32"/>
          <w:lang w:eastAsia="zh-CN"/>
        </w:rPr>
        <w:t>。</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（五）充分发挥会员信息管理系统功能。</w:t>
      </w:r>
      <w:r>
        <w:rPr>
          <w:rFonts w:hint="eastAsia" w:ascii="仿宋_GB2312" w:hAnsi="仿宋_GB2312" w:eastAsia="仿宋_GB2312" w:cs="仿宋_GB2312"/>
          <w:sz w:val="32"/>
          <w:szCs w:val="32"/>
          <w:lang w:val="en-US" w:eastAsia="zh-CN"/>
        </w:rPr>
        <w:t>进一步加强对会员经营数据的收集整理与分析工作，及时了解掌握会员和行业经营发展动态。</w:t>
      </w:r>
      <w:r>
        <w:rPr>
          <w:rFonts w:hint="eastAsia" w:ascii="仿宋_GB2312" w:hAnsi="仿宋" w:eastAsia="仿宋_GB2312"/>
          <w:sz w:val="32"/>
          <w:szCs w:val="32"/>
        </w:rPr>
        <w:t>持续完善栏目设置和模块功能，积极解决会员使用诉求</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升级改造证券公司数据分析系统</w:t>
      </w:r>
      <w:r>
        <w:rPr>
          <w:rFonts w:hint="eastAsia" w:ascii="仿宋_GB2312" w:hAnsi="仿宋_GB2312" w:eastAsia="仿宋_GB2312" w:cs="仿宋_GB2312"/>
          <w:sz w:val="32"/>
          <w:szCs w:val="32"/>
          <w:lang w:eastAsia="zh-CN"/>
        </w:rPr>
        <w:t>。</w:t>
      </w:r>
    </w:p>
    <w:p>
      <w:pPr>
        <w:pStyle w:val="2"/>
        <w:keepNext w:val="0"/>
        <w:keepLines w:val="0"/>
        <w:pageBreakBefore w:val="0"/>
        <w:kinsoku/>
        <w:wordWrap/>
        <w:topLinePunct w:val="0"/>
        <w:bidi w:val="0"/>
        <w:spacing w:line="336" w:lineRule="auto"/>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（六）积极开展各类增强行业凝聚力的交流活动。</w:t>
      </w:r>
      <w:r>
        <w:rPr>
          <w:rFonts w:hint="eastAsia" w:ascii="仿宋_GB2312" w:hAnsi="仿宋_GB2312" w:eastAsia="仿宋_GB2312" w:cs="仿宋_GB2312"/>
          <w:kern w:val="2"/>
          <w:sz w:val="32"/>
          <w:szCs w:val="32"/>
          <w:lang w:val="en-US" w:eastAsia="zh-CN" w:bidi="ar-SA"/>
        </w:rPr>
        <w:t>推进片区活动开展，协会今年力争实现片区交流活动全覆盖，通过宣讲、座谈、文体活动等形式将片区内会员紧密联系起来。在广州举办羽毛球等大型文体活动，积极营造健康的行业氛围。</w:t>
      </w:r>
      <w:r>
        <w:rPr>
          <w:rFonts w:hint="eastAsia" w:hAnsi="仿宋_GB2312" w:cs="仿宋_GB2312"/>
          <w:kern w:val="2"/>
          <w:sz w:val="32"/>
          <w:szCs w:val="32"/>
          <w:lang w:val="en-US" w:eastAsia="zh-CN" w:bidi="ar-SA"/>
        </w:rPr>
        <w:t>继续加强行业交流平台建设，做好</w:t>
      </w:r>
      <w:r>
        <w:rPr>
          <w:rFonts w:hint="eastAsia" w:ascii="仿宋_GB2312" w:hAnsi="仿宋_GB2312" w:eastAsia="仿宋_GB2312" w:cs="仿宋_GB2312"/>
          <w:kern w:val="2"/>
          <w:sz w:val="32"/>
          <w:szCs w:val="32"/>
          <w:lang w:val="en-US" w:eastAsia="zh-CN" w:bidi="ar-SA"/>
        </w:rPr>
        <w:t>《行业动态与研究》信息征集和发布工作。</w:t>
      </w:r>
      <w:r>
        <w:rPr>
          <w:rFonts w:hint="eastAsia" w:hAnsi="仿宋_GB2312" w:cs="仿宋_GB2312"/>
          <w:kern w:val="2"/>
          <w:sz w:val="32"/>
          <w:szCs w:val="32"/>
          <w:lang w:val="en-US" w:eastAsia="zh-CN" w:bidi="ar-SA"/>
        </w:rPr>
        <w:t>开展</w:t>
      </w:r>
      <w:r>
        <w:rPr>
          <w:rFonts w:hint="eastAsia" w:ascii="仿宋_GB2312" w:hAnsi="仿宋_GB2312" w:eastAsia="仿宋_GB2312" w:cs="仿宋_GB2312"/>
          <w:kern w:val="2"/>
          <w:sz w:val="32"/>
          <w:szCs w:val="32"/>
          <w:lang w:val="en-US" w:eastAsia="zh-CN" w:bidi="ar-SA"/>
        </w:rPr>
        <w:t>协会与会员单位</w:t>
      </w:r>
      <w:r>
        <w:rPr>
          <w:rFonts w:hint="eastAsia" w:hAnsi="仿宋_GB2312" w:cs="仿宋_GB2312"/>
          <w:kern w:val="2"/>
          <w:sz w:val="32"/>
          <w:szCs w:val="32"/>
          <w:lang w:val="en-US" w:eastAsia="zh-CN" w:bidi="ar-SA"/>
        </w:rPr>
        <w:t>之间的</w:t>
      </w:r>
      <w:r>
        <w:rPr>
          <w:rFonts w:hint="eastAsia" w:ascii="仿宋_GB2312" w:hAnsi="仿宋_GB2312" w:eastAsia="仿宋_GB2312" w:cs="仿宋_GB2312"/>
          <w:kern w:val="2"/>
          <w:sz w:val="32"/>
          <w:szCs w:val="32"/>
          <w:lang w:val="en-US" w:eastAsia="zh-CN" w:bidi="ar-SA"/>
        </w:rPr>
        <w:t>人才交流</w:t>
      </w:r>
      <w:r>
        <w:rPr>
          <w:rFonts w:hint="eastAsia" w:hAnsi="仿宋_GB2312" w:cs="仿宋_GB2312"/>
          <w:kern w:val="2"/>
          <w:sz w:val="32"/>
          <w:szCs w:val="32"/>
          <w:lang w:val="en-US" w:eastAsia="zh-CN" w:bidi="ar-SA"/>
        </w:rPr>
        <w:t>工作</w:t>
      </w:r>
      <w:r>
        <w:rPr>
          <w:rFonts w:hint="eastAsia" w:ascii="仿宋_GB2312" w:hAnsi="仿宋_GB2312" w:eastAsia="仿宋_GB2312" w:cs="仿宋_GB2312"/>
          <w:kern w:val="2"/>
          <w:sz w:val="32"/>
          <w:szCs w:val="32"/>
          <w:lang w:val="en-US" w:eastAsia="zh-CN" w:bidi="ar-SA"/>
        </w:rPr>
        <w:t>。</w:t>
      </w:r>
    </w:p>
    <w:p>
      <w:pPr>
        <w:keepNext w:val="0"/>
        <w:keepLines w:val="0"/>
        <w:pageBreakBefore w:val="0"/>
        <w:kinsoku/>
        <w:wordWrap/>
        <w:topLinePunct w:val="0"/>
        <w:bidi w:val="0"/>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四、进一步做好投教宣传、纠纷处理和乡村振兴工作，努力践行行业社会责任</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（一）聚合多方力量开展多形式的投教活动。</w:t>
      </w:r>
      <w:r>
        <w:rPr>
          <w:rFonts w:hint="eastAsia" w:ascii="仿宋_GB2312" w:hAnsi="仿宋_GB2312" w:eastAsia="仿宋_GB2312" w:cs="仿宋_GB2312"/>
          <w:sz w:val="32"/>
          <w:szCs w:val="32"/>
        </w:rPr>
        <w:t>在“5·15全国投资者保护宣传日”等重要节点，组织</w:t>
      </w:r>
      <w:r>
        <w:rPr>
          <w:rFonts w:hint="eastAsia" w:ascii="仿宋_GB2312" w:hAnsi="仿宋_GB2312" w:eastAsia="仿宋_GB2312" w:cs="仿宋_GB2312"/>
          <w:sz w:val="32"/>
          <w:szCs w:val="32"/>
          <w:lang w:val="en-US" w:eastAsia="zh-CN"/>
        </w:rPr>
        <w:t>会员</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投保宣传</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协助做好“广东投资者教育与服务”微信公众号运维工作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val="en-US" w:eastAsia="zh-CN"/>
        </w:rPr>
        <w:t>中国证券业协会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中国期货业协会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中国证券投资基金业协会</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会员</w:t>
      </w:r>
      <w:r>
        <w:rPr>
          <w:rFonts w:hint="eastAsia" w:ascii="仿宋_GB2312" w:hAnsi="仿宋_GB2312" w:eastAsia="仿宋_GB2312" w:cs="仿宋_GB2312"/>
          <w:sz w:val="32"/>
          <w:szCs w:val="32"/>
        </w:rPr>
        <w:t>深入高校</w:t>
      </w:r>
      <w:r>
        <w:rPr>
          <w:rFonts w:hint="eastAsia" w:ascii="仿宋_GB2312" w:hAnsi="仿宋_GB2312" w:eastAsia="仿宋_GB2312" w:cs="仿宋_GB2312"/>
          <w:sz w:val="32"/>
          <w:szCs w:val="32"/>
          <w:lang w:val="en-US" w:eastAsia="zh-CN"/>
        </w:rPr>
        <w:t>开展行业宣传和投教活动。</w:t>
      </w:r>
      <w:r>
        <w:rPr>
          <w:rFonts w:hint="eastAsia" w:ascii="仿宋_GB2312" w:hAnsi="仿宋_GB2312" w:eastAsia="仿宋_GB2312" w:cs="仿宋_GB2312"/>
          <w:sz w:val="32"/>
          <w:szCs w:val="32"/>
        </w:rPr>
        <w:t>联合广东广播电台开展“股市第一线”等投教公益活动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联合会员单位举办投资者教育文化大讲堂活动。</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
          <w:sz w:val="32"/>
          <w:szCs w:val="32"/>
          <w:lang w:val="en-US" w:eastAsia="zh-CN" w:bidi="ar-SA"/>
        </w:rPr>
        <w:t>（二）发动行业力量推动乡村振兴项目落地。</w:t>
      </w:r>
      <w:r>
        <w:rPr>
          <w:rFonts w:hint="eastAsia" w:ascii="仿宋_GB2312" w:hAnsi="仿宋_GB2312" w:eastAsia="仿宋_GB2312" w:cs="仿宋_GB2312"/>
          <w:sz w:val="32"/>
          <w:szCs w:val="32"/>
        </w:rPr>
        <w:t>加快推进三个帮扶村光伏项目实施落地；引导并组织会员参与赴普宁市占陇镇开展国情教育慰问帮扶活动和党组织结对共建活动；组织会员积极捐建乡村振兴项目，推动形成有影响力的乡村振兴品牌项目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加强对“保险+期货”项目的宣传推广，联系地方政府寻求资金支持。</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
          <w:sz w:val="32"/>
          <w:szCs w:val="32"/>
          <w:lang w:val="en-US" w:eastAsia="zh-CN" w:bidi="ar-SA"/>
        </w:rPr>
        <w:t>（三）持续做好行业投诉及纠纷处理工作。</w:t>
      </w:r>
      <w:r>
        <w:rPr>
          <w:rFonts w:hint="eastAsia" w:ascii="仿宋_GB2312" w:hAnsi="仿宋_GB2312" w:eastAsia="仿宋_GB2312" w:cs="仿宋_GB2312"/>
          <w:sz w:val="32"/>
          <w:szCs w:val="32"/>
        </w:rPr>
        <w:t>开展诉源治理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，对近两年投诉纠纷较多或增长较快的纠纷情况进行总结分析，提出对策建议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指导调解中心借力第三方在线损失赔偿计算系统，为上市公司虚假陈述民事案件调解当事人提供专业服务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总结梳理上市公司虚假陈述民事案件调解实践情况，针对国有企业调解意愿不高、调解结案责任划分不清等难点开展调研，力争实现新的突破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汇编典型</w:t>
      </w:r>
      <w:r>
        <w:rPr>
          <w:rFonts w:hint="eastAsia" w:ascii="仿宋_GB2312" w:hAnsi="仿宋_GB2312" w:eastAsia="仿宋_GB2312" w:cs="仿宋_GB2312"/>
          <w:sz w:val="32"/>
          <w:szCs w:val="32"/>
          <w:lang w:eastAsia="zh-CN"/>
        </w:rPr>
        <w:t>纠纷</w:t>
      </w:r>
      <w:r>
        <w:rPr>
          <w:rFonts w:hint="eastAsia" w:ascii="仿宋_GB2312" w:hAnsi="仿宋_GB2312" w:eastAsia="仿宋_GB2312" w:cs="仿宋_GB2312"/>
          <w:sz w:val="32"/>
          <w:szCs w:val="32"/>
        </w:rPr>
        <w:t>案例，并定期向会员推送。</w:t>
      </w:r>
    </w:p>
    <w:p>
      <w:pPr>
        <w:keepNext w:val="0"/>
        <w:keepLines w:val="0"/>
        <w:pageBreakBefore w:val="0"/>
        <w:kinsoku/>
        <w:wordWrap/>
        <w:topLinePunct w:val="0"/>
        <w:bidi w:val="0"/>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五、做深做实党建工作，推动党建与业务深度融合</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000000"/>
          <w:kern w:val="2"/>
          <w:sz w:val="32"/>
          <w:szCs w:val="32"/>
          <w:lang w:val="en-US" w:eastAsia="zh-CN" w:bidi="ar-SA"/>
        </w:rPr>
        <w:t>（一）持续加强协会党支部建设。</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《广东证监局党支部标准规范化建设工作指引》要求，持续推进党支部标准化建设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通过每月一课、党支部活动、读原文谈心得等形式认真学习贯彻落实党的二十大提出的新思想新论断、作出的新部署新要求，促进协会工作步调一致抓落实</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bidi w:val="0"/>
        <w:spacing w:line="336"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
          <w:sz w:val="32"/>
          <w:szCs w:val="32"/>
          <w:lang w:val="en-US" w:eastAsia="zh-CN" w:bidi="ar-SA"/>
        </w:rPr>
        <w:t>（二）推进行业党建工作。</w:t>
      </w:r>
      <w:r>
        <w:rPr>
          <w:rFonts w:hint="eastAsia" w:ascii="仿宋_GB2312" w:hAnsi="仿宋_GB2312" w:eastAsia="仿宋_GB2312" w:cs="仿宋_GB2312"/>
          <w:sz w:val="32"/>
          <w:szCs w:val="32"/>
        </w:rPr>
        <w:t>组织行业学习贯彻党的二十大会议精神专题讲座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继续深入会员单位党支部开展党支部联学共建活动，交流学习党的二十大会议精神、党建工作特色</w:t>
      </w:r>
      <w:r>
        <w:rPr>
          <w:rFonts w:hint="eastAsia" w:ascii="仿宋_GB2312" w:hAnsi="仿宋_GB2312" w:eastAsia="仿宋_GB2312" w:cs="仿宋_GB2312"/>
          <w:sz w:val="32"/>
          <w:szCs w:val="32"/>
          <w:lang w:val="en-US" w:eastAsia="zh-CN"/>
        </w:rPr>
        <w:t>等。</w:t>
      </w:r>
    </w:p>
    <w:p>
      <w:pPr>
        <w:keepNext w:val="0"/>
        <w:keepLines w:val="0"/>
        <w:pageBreakBefore w:val="0"/>
        <w:kinsoku/>
        <w:wordWrap/>
        <w:topLinePunct w:val="0"/>
        <w:bidi w:val="0"/>
        <w:spacing w:line="336" w:lineRule="auto"/>
        <w:textAlignment w:val="auto"/>
      </w:pP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0E0BA7-094B-4F5F-8D14-7F106C270E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3B559A2-8CF5-4665-9C61-9D059FF2AE7F}"/>
  </w:font>
  <w:font w:name="方正小标宋简体">
    <w:panose1 w:val="03000509000000000000"/>
    <w:charset w:val="86"/>
    <w:family w:val="auto"/>
    <w:pitch w:val="default"/>
    <w:sig w:usb0="00000001" w:usb1="080E0000" w:usb2="00000000" w:usb3="00000000" w:csb0="00040000" w:csb1="00000000"/>
    <w:embedRegular r:id="rId3" w:fontKey="{69714107-2498-48E3-B100-9DCD57ACB2BD}"/>
  </w:font>
  <w:font w:name="仿宋">
    <w:panose1 w:val="02010609060101010101"/>
    <w:charset w:val="86"/>
    <w:family w:val="auto"/>
    <w:pitch w:val="default"/>
    <w:sig w:usb0="800002BF" w:usb1="38CF7CFA" w:usb2="00000016" w:usb3="00000000" w:csb0="00040001" w:csb1="00000000"/>
    <w:embedRegular r:id="rId4" w:fontKey="{C04B531B-24B4-4E8E-9D67-66429021613D}"/>
  </w:font>
  <w:font w:name="楷体">
    <w:panose1 w:val="02010609060101010101"/>
    <w:charset w:val="86"/>
    <w:family w:val="auto"/>
    <w:pitch w:val="default"/>
    <w:sig w:usb0="800002BF" w:usb1="38CF7CFA" w:usb2="00000016" w:usb3="00000000" w:csb0="00040001" w:csb1="00000000"/>
    <w:embedRegular r:id="rId5" w:fontKey="{A9E55F79-6F47-4B18-A8BA-B34BC7CDA8C9}"/>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embedRegular r:id="rId6" w:fontKey="{E76C4D5F-BF21-4988-A173-2080AD4728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OTJkODlkODI0YWU0ZDU0ZWQ2NWZkNzY4N2JkMWUifQ=="/>
  </w:docVars>
  <w:rsids>
    <w:rsidRoot w:val="00000000"/>
    <w:rsid w:val="01CF3BAC"/>
    <w:rsid w:val="04FE4786"/>
    <w:rsid w:val="06DA24F3"/>
    <w:rsid w:val="0759498D"/>
    <w:rsid w:val="08235C3A"/>
    <w:rsid w:val="0BF26C44"/>
    <w:rsid w:val="0E743C91"/>
    <w:rsid w:val="0EE24B6A"/>
    <w:rsid w:val="10285CED"/>
    <w:rsid w:val="13695C3F"/>
    <w:rsid w:val="139D7EAA"/>
    <w:rsid w:val="19395F9F"/>
    <w:rsid w:val="194A041A"/>
    <w:rsid w:val="199E386A"/>
    <w:rsid w:val="1D5113F8"/>
    <w:rsid w:val="1F730AC2"/>
    <w:rsid w:val="1F762D44"/>
    <w:rsid w:val="23A92BD7"/>
    <w:rsid w:val="24A00025"/>
    <w:rsid w:val="26EA366C"/>
    <w:rsid w:val="28537F25"/>
    <w:rsid w:val="29371C30"/>
    <w:rsid w:val="295A248B"/>
    <w:rsid w:val="29B2751A"/>
    <w:rsid w:val="2CBB4816"/>
    <w:rsid w:val="2E214B8D"/>
    <w:rsid w:val="315370F6"/>
    <w:rsid w:val="324C4745"/>
    <w:rsid w:val="334709E8"/>
    <w:rsid w:val="34D838E5"/>
    <w:rsid w:val="394B03B8"/>
    <w:rsid w:val="398305B5"/>
    <w:rsid w:val="3A4E564F"/>
    <w:rsid w:val="3B1479D8"/>
    <w:rsid w:val="3BB30212"/>
    <w:rsid w:val="3F856808"/>
    <w:rsid w:val="43E3634C"/>
    <w:rsid w:val="46D27FE2"/>
    <w:rsid w:val="4B9C7C39"/>
    <w:rsid w:val="4F1671CD"/>
    <w:rsid w:val="4F562811"/>
    <w:rsid w:val="503B1BA2"/>
    <w:rsid w:val="53300CCF"/>
    <w:rsid w:val="546B57DE"/>
    <w:rsid w:val="56A36176"/>
    <w:rsid w:val="588643CE"/>
    <w:rsid w:val="5E2A405F"/>
    <w:rsid w:val="5E304667"/>
    <w:rsid w:val="5E4B0B6D"/>
    <w:rsid w:val="65D96FAD"/>
    <w:rsid w:val="6A53171C"/>
    <w:rsid w:val="6E20298D"/>
    <w:rsid w:val="714C1611"/>
    <w:rsid w:val="78386023"/>
    <w:rsid w:val="79611CF6"/>
    <w:rsid w:val="7E2C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spacing w:line="360" w:lineRule="auto"/>
      <w:ind w:left="492"/>
      <w:jc w:val="left"/>
    </w:pPr>
    <w:rPr>
      <w:rFonts w:ascii="仿宋_GB2312" w:hAnsi="宋体" w:eastAsia="仿宋_GB2312"/>
      <w:color w:val="000000"/>
      <w:kern w:val="0"/>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7064</Words>
  <Characters>7164</Characters>
  <Lines>0</Lines>
  <Paragraphs>0</Paragraphs>
  <TotalTime>1029</TotalTime>
  <ScaleCrop>false</ScaleCrop>
  <LinksUpToDate>false</LinksUpToDate>
  <CharactersWithSpaces>7169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2023-02-27T07:50:00Z</dcterms:created>
  <dc:creator>Administrator</dc:creator>
  <cp:lastModifiedBy>嘉文！</cp:lastModifiedBy>
  <dcterms:modified xsi:type="dcterms:W3CDTF">2023-03-30T03:01:53Z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8F8A2DB5CFD944DE935E8922E9BA72D7</vt:lpwstr>
  </property>
</Properties>
</file>