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期货仿真交易与真实交易一样吗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期货仿真交易是一种期货模拟软件，是向投资者提供期货信息或传递期货交易指令的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计算机程序。在仿真交易过程中，交易流程、结算流程、风控措施都是真实的，只有交易资金是虚拟的数字，可以让投资者实现“零风险”操盘。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参与仿真交易是为让投资者学习期货基础知识、熟悉规则、明晰风险，投资者不需过度关注仿真交易的盈亏情况，切忌根据仿真交易行情臆断未来的真实交易情况。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8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2022-03-25T00:55:57Z</dcterms:modified>
  <dc:title>期货仿真交易与真实交易一样吗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