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期货的涨跌停板制度</w:t>
      </w:r>
    </w:p>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期货的涨跌停板制度，又称每日价</w:t>
      </w:r>
      <w:bookmarkStart w:id="0" w:name="_GoBack"/>
      <w:bookmarkEnd w:id="0"/>
      <w:r>
        <w:rPr>
          <w:rFonts w:hint="eastAsia" w:ascii="仿宋_GB2312" w:hAnsi="仿宋_GB2312" w:eastAsia="仿宋_GB2312" w:cs="仿宋_GB2312"/>
          <w:sz w:val="32"/>
          <w:szCs w:val="32"/>
        </w:rPr>
        <w:t>格最大波动限制，即指期货合约在一个交易日中的交易价格波动不得高于或者低于规定的涨跌幅度，超过该涨跌幅度的报价将被视为无效。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C10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2022-03-24T08:45:46Z</dcterms:modified>
  <dc:title>期货的涨跌停板制度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