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ind w:left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期货按风险等级有哪些分类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按照《期货经营机构投资者适当性管理实施指引（试行）》的规定，根据产品或服务风险等级的不同，可按照以下名录分类：</w:t>
      </w:r>
    </w:p>
    <w:p>
      <w:pPr>
        <w:rPr>
          <w:rFonts w:hint="eastAsia"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721350" cy="5132705"/>
            <wp:effectExtent l="0" t="0" r="0" b="0"/>
            <wp:docPr id="4" name="图形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形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513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csrc</dc:creator>
  <cp:lastModifiedBy>csrc</cp:lastModifiedBy>
  <dcterms:modified xsi:type="dcterms:W3CDTF">2022-03-25T01:00:22Z</dcterms:modified>
  <dc:title>期货按风险等级有哪些分类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