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ascii="宋体" w:hAnsi="宋体" w:eastAsia="宋体" w:cs="宋体"/>
          <w:b/>
          <w:bCs/>
          <w:sz w:val="32"/>
          <w:szCs w:val="32"/>
        </w:rPr>
        <w:t>天河区网格化防非打非结对共建活动</w:t>
      </w:r>
      <w:r>
        <w:rPr>
          <w:rFonts w:hint="eastAsia" w:ascii="宋体" w:hAnsi="宋体" w:eastAsia="宋体" w:cs="宋体"/>
          <w:b/>
          <w:bCs/>
          <w:sz w:val="32"/>
          <w:szCs w:val="32"/>
          <w:lang w:val="en-US" w:eastAsia="zh-CN"/>
        </w:rPr>
        <w:t>--</w:t>
      </w:r>
    </w:p>
    <w:p>
      <w:pPr>
        <w:jc w:val="center"/>
        <w:rPr>
          <w:rFonts w:ascii="宋体" w:hAnsi="宋体" w:eastAsia="宋体" w:cs="宋体"/>
          <w:b/>
          <w:bCs/>
          <w:sz w:val="32"/>
          <w:szCs w:val="32"/>
        </w:rPr>
      </w:pPr>
      <w:r>
        <w:rPr>
          <w:rFonts w:hint="eastAsia" w:ascii="宋体" w:hAnsi="宋体" w:eastAsia="宋体" w:cs="宋体"/>
          <w:b/>
          <w:bCs/>
          <w:sz w:val="32"/>
          <w:szCs w:val="32"/>
          <w:lang w:val="en-US" w:eastAsia="zh-CN"/>
        </w:rPr>
        <w:t>中信</w:t>
      </w:r>
      <w:r>
        <w:rPr>
          <w:rFonts w:ascii="宋体" w:hAnsi="宋体" w:eastAsia="宋体" w:cs="宋体"/>
          <w:b/>
          <w:bCs/>
          <w:sz w:val="32"/>
          <w:szCs w:val="32"/>
        </w:rPr>
        <w:t>证券</w:t>
      </w:r>
      <w:r>
        <w:rPr>
          <w:rFonts w:hint="eastAsia" w:ascii="宋体" w:hAnsi="宋体" w:eastAsia="宋体" w:cs="宋体"/>
          <w:b/>
          <w:bCs/>
          <w:sz w:val="32"/>
          <w:szCs w:val="32"/>
          <w:lang w:val="en-US" w:eastAsia="zh-CN"/>
        </w:rPr>
        <w:t>华南股份有限公司广州</w:t>
      </w:r>
      <w:r>
        <w:rPr>
          <w:rFonts w:ascii="宋体" w:hAnsi="宋体" w:eastAsia="宋体" w:cs="宋体"/>
          <w:b/>
          <w:bCs/>
          <w:sz w:val="32"/>
          <w:szCs w:val="32"/>
        </w:rPr>
        <w:t>天河</w:t>
      </w:r>
      <w:r>
        <w:rPr>
          <w:rFonts w:hint="eastAsia" w:ascii="宋体" w:hAnsi="宋体" w:eastAsia="宋体" w:cs="宋体"/>
          <w:b/>
          <w:bCs/>
          <w:sz w:val="32"/>
          <w:szCs w:val="32"/>
          <w:lang w:val="en-US" w:eastAsia="zh-CN"/>
        </w:rPr>
        <w:t>北路证券</w:t>
      </w:r>
      <w:r>
        <w:rPr>
          <w:rFonts w:ascii="宋体" w:hAnsi="宋体" w:eastAsia="宋体" w:cs="宋体"/>
          <w:b/>
          <w:bCs/>
          <w:sz w:val="32"/>
          <w:szCs w:val="32"/>
        </w:rPr>
        <w:t>营业部</w:t>
      </w:r>
    </w:p>
    <w:p>
      <w:pPr>
        <w:jc w:val="center"/>
        <w:rPr>
          <w:rFonts w:ascii="宋体" w:hAnsi="宋体" w:eastAsia="宋体" w:cs="宋体"/>
          <w:sz w:val="24"/>
          <w:szCs w:val="24"/>
        </w:rPr>
      </w:pPr>
      <w:r>
        <w:rPr>
          <w:rFonts w:ascii="宋体" w:hAnsi="宋体" w:eastAsia="宋体" w:cs="宋体"/>
          <w:sz w:val="24"/>
          <w:szCs w:val="24"/>
        </w:rPr>
        <w:br w:type="textWrapping"/>
      </w:r>
    </w:p>
    <w:p>
      <w:pPr>
        <w:ind w:firstLine="480"/>
        <w:jc w:val="left"/>
        <w:rPr>
          <w:rFonts w:hint="eastAsia" w:ascii="宋体" w:hAnsi="宋体" w:eastAsia="宋体" w:cs="宋体"/>
          <w:sz w:val="24"/>
          <w:szCs w:val="24"/>
          <w:lang w:val="en-US" w:eastAsia="zh-CN"/>
        </w:rPr>
      </w:pPr>
      <w:r>
        <w:rPr>
          <w:rFonts w:ascii="宋体" w:hAnsi="宋体" w:eastAsia="宋体" w:cs="宋体"/>
          <w:sz w:val="24"/>
          <w:szCs w:val="24"/>
        </w:rPr>
        <w:t>为积极响应地方政府号召，切实履行金融机构的社会责任，助力构建基层金融安全防线，</w:t>
      </w:r>
      <w:r>
        <w:rPr>
          <w:rFonts w:hint="eastAsia" w:ascii="宋体" w:hAnsi="宋体" w:eastAsia="宋体" w:cs="宋体"/>
          <w:sz w:val="24"/>
          <w:szCs w:val="24"/>
          <w:lang w:val="en-US" w:eastAsia="zh-CN"/>
        </w:rPr>
        <w:t>中信</w:t>
      </w:r>
      <w:r>
        <w:rPr>
          <w:rFonts w:ascii="宋体" w:hAnsi="宋体" w:eastAsia="宋体" w:cs="宋体"/>
          <w:sz w:val="24"/>
          <w:szCs w:val="24"/>
        </w:rPr>
        <w:t>证券</w:t>
      </w:r>
      <w:r>
        <w:rPr>
          <w:rFonts w:hint="eastAsia" w:ascii="宋体" w:hAnsi="宋体" w:eastAsia="宋体" w:cs="宋体"/>
          <w:sz w:val="24"/>
          <w:szCs w:val="24"/>
          <w:lang w:val="en-US" w:eastAsia="zh-CN"/>
        </w:rPr>
        <w:t>华南</w:t>
      </w:r>
      <w:r>
        <w:rPr>
          <w:rFonts w:ascii="宋体" w:hAnsi="宋体" w:eastAsia="宋体" w:cs="宋体"/>
          <w:sz w:val="24"/>
          <w:szCs w:val="24"/>
        </w:rPr>
        <w:t>股份有限公司</w:t>
      </w:r>
      <w:r>
        <w:rPr>
          <w:rFonts w:hint="eastAsia" w:ascii="宋体" w:hAnsi="宋体" w:eastAsia="宋体" w:cs="宋体"/>
          <w:sz w:val="24"/>
          <w:szCs w:val="24"/>
          <w:lang w:val="en-US" w:eastAsia="zh-CN"/>
        </w:rPr>
        <w:t>广州</w:t>
      </w:r>
      <w:r>
        <w:rPr>
          <w:rFonts w:ascii="宋体" w:hAnsi="宋体" w:eastAsia="宋体" w:cs="宋体"/>
          <w:sz w:val="24"/>
          <w:szCs w:val="24"/>
        </w:rPr>
        <w:t>天河</w:t>
      </w:r>
      <w:r>
        <w:rPr>
          <w:rFonts w:hint="eastAsia" w:ascii="宋体" w:hAnsi="宋体" w:eastAsia="宋体" w:cs="宋体"/>
          <w:sz w:val="24"/>
          <w:szCs w:val="24"/>
          <w:lang w:val="en-US" w:eastAsia="zh-CN"/>
        </w:rPr>
        <w:t>北路证券</w:t>
      </w:r>
      <w:r>
        <w:rPr>
          <w:rFonts w:ascii="宋体" w:hAnsi="宋体" w:eastAsia="宋体" w:cs="宋体"/>
          <w:sz w:val="24"/>
          <w:szCs w:val="24"/>
        </w:rPr>
        <w:t>营业部（以下简称“</w:t>
      </w:r>
      <w:r>
        <w:rPr>
          <w:rFonts w:hint="eastAsia" w:ascii="宋体" w:hAnsi="宋体" w:eastAsia="宋体" w:cs="宋体"/>
          <w:sz w:val="24"/>
          <w:szCs w:val="24"/>
          <w:lang w:val="en-US" w:eastAsia="zh-CN"/>
        </w:rPr>
        <w:t>营业部</w:t>
      </w:r>
      <w:r>
        <w:rPr>
          <w:rFonts w:ascii="宋体" w:hAnsi="宋体" w:eastAsia="宋体" w:cs="宋体"/>
          <w:sz w:val="24"/>
          <w:szCs w:val="24"/>
        </w:rPr>
        <w:t>”）于202</w:t>
      </w:r>
      <w:r>
        <w:rPr>
          <w:rFonts w:hint="eastAsia" w:ascii="宋体" w:hAnsi="宋体" w:eastAsia="宋体" w:cs="宋体"/>
          <w:sz w:val="24"/>
          <w:szCs w:val="24"/>
          <w:lang w:val="en-US" w:eastAsia="zh-CN"/>
        </w:rPr>
        <w:t>6</w:t>
      </w:r>
      <w:r>
        <w:rPr>
          <w:rFonts w:ascii="宋体" w:hAnsi="宋体" w:eastAsia="宋体" w:cs="宋体"/>
          <w:sz w:val="24"/>
          <w:szCs w:val="24"/>
        </w:rPr>
        <w:t>年</w:t>
      </w:r>
      <w:r>
        <w:rPr>
          <w:rFonts w:hint="eastAsia" w:ascii="宋体" w:hAnsi="宋体" w:eastAsia="宋体" w:cs="宋体"/>
          <w:sz w:val="24"/>
          <w:szCs w:val="24"/>
          <w:lang w:val="en-US" w:eastAsia="zh-CN"/>
        </w:rPr>
        <w:t>3</w:t>
      </w:r>
      <w:r>
        <w:rPr>
          <w:rFonts w:ascii="宋体" w:hAnsi="宋体" w:eastAsia="宋体" w:cs="宋体"/>
          <w:sz w:val="24"/>
          <w:szCs w:val="24"/>
        </w:rPr>
        <w:t>月13日，</w:t>
      </w:r>
      <w:r>
        <w:rPr>
          <w:rFonts w:hint="eastAsia" w:ascii="宋体" w:hAnsi="宋体" w:eastAsia="宋体" w:cs="宋体"/>
          <w:sz w:val="24"/>
          <w:szCs w:val="24"/>
          <w:lang w:val="en-US" w:eastAsia="zh-CN"/>
        </w:rPr>
        <w:t>参与了</w:t>
      </w:r>
      <w:r>
        <w:rPr>
          <w:rFonts w:ascii="宋体" w:hAnsi="宋体" w:eastAsia="宋体" w:cs="宋体"/>
          <w:sz w:val="24"/>
          <w:szCs w:val="24"/>
        </w:rPr>
        <w:t>由广东金融监管局、广州市委金融办指导，天河区防范和打击非法金融联席会议办公室联合相关单位主办的“天河区金融防非志愿者与地方防非前哨员结对共建工作启动仪式暨2026年‘3·15’防范非法金融宣传活动”。</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5343525" cy="3038475"/>
            <wp:effectExtent l="0" t="0" r="9525" b="952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4"/>
                    <a:stretch>
                      <a:fillRect/>
                    </a:stretch>
                  </pic:blipFill>
                  <pic:spPr>
                    <a:xfrm>
                      <a:off x="0" y="0"/>
                      <a:ext cx="5343525" cy="3038475"/>
                    </a:xfrm>
                    <a:prstGeom prst="rect">
                      <a:avLst/>
                    </a:prstGeom>
                    <a:noFill/>
                    <a:ln w="9525">
                      <a:noFill/>
                    </a:ln>
                  </pic:spPr>
                </pic:pic>
              </a:graphicData>
            </a:graphic>
          </wp:inline>
        </w:drawing>
      </w:r>
    </w:p>
    <w:p>
      <w:pPr>
        <w:ind w:firstLine="480"/>
        <w:jc w:val="left"/>
        <w:rPr>
          <w:rFonts w:hint="eastAsia" w:ascii="宋体" w:hAnsi="宋体" w:eastAsia="宋体" w:cs="宋体"/>
          <w:sz w:val="24"/>
          <w:szCs w:val="24"/>
          <w:lang w:val="en-US" w:eastAsia="zh-CN"/>
        </w:rPr>
      </w:pPr>
      <w:r>
        <w:rPr>
          <w:rFonts w:ascii="宋体" w:hAnsi="宋体" w:eastAsia="宋体" w:cs="宋体"/>
          <w:sz w:val="24"/>
          <w:szCs w:val="24"/>
        </w:rPr>
        <w:t>本次活动以“金融安全3·15 天河在行动”为主题，旨在推动专业金融力量下沉社区网格。</w:t>
      </w:r>
      <w:r>
        <w:rPr>
          <w:rFonts w:hint="eastAsia" w:ascii="宋体" w:hAnsi="宋体" w:eastAsia="宋体" w:cs="宋体"/>
          <w:sz w:val="24"/>
          <w:szCs w:val="24"/>
          <w:lang w:val="en-US" w:eastAsia="zh-CN"/>
        </w:rPr>
        <w:t>营业部</w:t>
      </w:r>
      <w:r>
        <w:rPr>
          <w:rFonts w:ascii="宋体" w:hAnsi="宋体" w:eastAsia="宋体" w:cs="宋体"/>
          <w:sz w:val="24"/>
          <w:szCs w:val="24"/>
        </w:rPr>
        <w:t>高度重视，精心选派了多名具备丰富证券从业经验与投资者教育知识的业务骨干</w:t>
      </w:r>
      <w:r>
        <w:rPr>
          <w:rFonts w:hint="eastAsia" w:ascii="宋体" w:hAnsi="宋体" w:eastAsia="宋体" w:cs="宋体"/>
          <w:sz w:val="24"/>
          <w:szCs w:val="24"/>
          <w:lang w:val="en-US" w:eastAsia="zh-CN"/>
        </w:rPr>
        <w:t>参与</w:t>
      </w:r>
      <w:r>
        <w:rPr>
          <w:rFonts w:ascii="宋体" w:hAnsi="宋体" w:eastAsia="宋体" w:cs="宋体"/>
          <w:sz w:val="24"/>
          <w:szCs w:val="24"/>
        </w:rPr>
        <w:t>。在活动现场，</w:t>
      </w:r>
      <w:r>
        <w:rPr>
          <w:rFonts w:hint="eastAsia" w:ascii="宋体" w:hAnsi="宋体" w:eastAsia="宋体" w:cs="宋体"/>
          <w:sz w:val="24"/>
          <w:szCs w:val="24"/>
          <w:lang w:val="en-US" w:eastAsia="zh-CN"/>
        </w:rPr>
        <w:t>营业部</w:t>
      </w:r>
      <w:r>
        <w:rPr>
          <w:rFonts w:ascii="宋体" w:hAnsi="宋体" w:eastAsia="宋体" w:cs="宋体"/>
          <w:sz w:val="24"/>
          <w:szCs w:val="24"/>
        </w:rPr>
        <w:t>志愿者团队设立了专业的金融防非咨询台，结合证券行业特点，向前来参与的社区居民、商户重点揭示了以“号称有‘原始股’内部份额、承诺‘境外上市’一夜暴富、推销说不清底层资产的‘高收益私募’……这些都是非法证券活动常见的‘画皮’。”志愿者们通过发放《2026年非法证券活动警示案例》</w:t>
      </w:r>
      <w:r>
        <w:rPr>
          <w:rFonts w:hint="eastAsia" w:ascii="宋体" w:hAnsi="宋体" w:eastAsia="宋体" w:cs="宋体"/>
          <w:sz w:val="24"/>
          <w:szCs w:val="24"/>
          <w:lang w:eastAsia="zh-CN"/>
        </w:rPr>
        <w:t>《选择</w:t>
      </w:r>
      <w:bookmarkStart w:id="0" w:name="_GoBack"/>
      <w:bookmarkEnd w:id="0"/>
      <w:r>
        <w:rPr>
          <w:rFonts w:hint="eastAsia" w:ascii="宋体" w:hAnsi="宋体" w:eastAsia="宋体" w:cs="宋体"/>
          <w:sz w:val="24"/>
          <w:szCs w:val="24"/>
          <w:lang w:eastAsia="zh-CN"/>
        </w:rPr>
        <w:t>合法机构，远离非法主体》</w:t>
      </w:r>
      <w:r>
        <w:rPr>
          <w:rFonts w:hint="eastAsia" w:ascii="宋体" w:hAnsi="宋体" w:eastAsia="宋体" w:cs="宋体"/>
          <w:sz w:val="24"/>
          <w:szCs w:val="24"/>
        </w:rPr>
        <w:t>《非法荐股活动的N种套路：变相收取荐股费》</w:t>
      </w:r>
      <w:r>
        <w:rPr>
          <w:rFonts w:hint="eastAsia" w:ascii="宋体" w:hAnsi="宋体" w:eastAsia="宋体" w:cs="宋体"/>
          <w:sz w:val="24"/>
          <w:szCs w:val="24"/>
          <w:lang w:val="en-US" w:eastAsia="zh-CN"/>
        </w:rPr>
        <w:t>等宣传单张</w:t>
      </w:r>
      <w:r>
        <w:rPr>
          <w:rFonts w:ascii="宋体" w:hAnsi="宋体" w:eastAsia="宋体" w:cs="宋体"/>
          <w:sz w:val="24"/>
          <w:szCs w:val="24"/>
        </w:rPr>
        <w:t>手册</w:t>
      </w:r>
      <w:r>
        <w:rPr>
          <w:rFonts w:hint="eastAsia" w:ascii="宋体" w:hAnsi="宋体" w:eastAsia="宋体" w:cs="宋体"/>
          <w:sz w:val="24"/>
          <w:szCs w:val="24"/>
          <w:lang w:eastAsia="zh-CN"/>
        </w:rPr>
        <w:t>，</w:t>
      </w:r>
      <w:r>
        <w:rPr>
          <w:rFonts w:ascii="宋体" w:hAnsi="宋体" w:eastAsia="宋体" w:cs="宋体"/>
          <w:sz w:val="24"/>
          <w:szCs w:val="24"/>
        </w:rPr>
        <w:t>剖析近年来的真实案例，并结合互动问答，生动形象地揭示了这些骗局的核心手法与巨大风险。他们重点普及了如何辨识合规投资渠道、树立“风险自担”的投资意识等关键知识，现场互动踊跃，气氛热烈。</w:t>
      </w:r>
      <w:r>
        <w:rPr>
          <w:rFonts w:hint="eastAsia" w:ascii="宋体" w:hAnsi="宋体" w:eastAsia="宋体" w:cs="宋体"/>
          <w:sz w:val="24"/>
          <w:szCs w:val="24"/>
          <w:lang w:val="en-US" w:eastAsia="zh-CN"/>
        </w:rPr>
        <w:t xml:space="preserve">  </w:t>
      </w:r>
    </w:p>
    <w:p>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101850" cy="1798320"/>
            <wp:effectExtent l="0" t="0" r="12700" b="11430"/>
            <wp:docPr id="5" name="图片 5" descr="企业微信截图_1773639161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企业微信截图_17736391615429"/>
                    <pic:cNvPicPr>
                      <a:picLocks noChangeAspect="1"/>
                    </pic:cNvPicPr>
                  </pic:nvPicPr>
                  <pic:blipFill>
                    <a:blip r:embed="rId5"/>
                    <a:stretch>
                      <a:fillRect/>
                    </a:stretch>
                  </pic:blipFill>
                  <pic:spPr>
                    <a:xfrm>
                      <a:off x="0" y="0"/>
                      <a:ext cx="2101850" cy="1798320"/>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2513330" cy="1795780"/>
            <wp:effectExtent l="0" t="0" r="1270" b="13970"/>
            <wp:docPr id="6" name="图片 6" descr="企业微信截图_1773639202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17736392025630"/>
                    <pic:cNvPicPr>
                      <a:picLocks noChangeAspect="1"/>
                    </pic:cNvPicPr>
                  </pic:nvPicPr>
                  <pic:blipFill>
                    <a:blip r:embed="rId6"/>
                    <a:stretch>
                      <a:fillRect/>
                    </a:stretch>
                  </pic:blipFill>
                  <pic:spPr>
                    <a:xfrm>
                      <a:off x="0" y="0"/>
                      <a:ext cx="2513330" cy="1795780"/>
                    </a:xfrm>
                    <a:prstGeom prst="rect">
                      <a:avLst/>
                    </a:prstGeom>
                  </pic:spPr>
                </pic:pic>
              </a:graphicData>
            </a:graphic>
          </wp:inline>
        </w:drawing>
      </w:r>
    </w:p>
    <w:p>
      <w:pPr>
        <w:ind w:firstLine="480"/>
        <w:jc w:val="left"/>
        <w:rPr>
          <w:rFonts w:hint="eastAsia" w:ascii="宋体" w:hAnsi="宋体" w:eastAsia="宋体" w:cs="宋体"/>
          <w:sz w:val="24"/>
          <w:szCs w:val="24"/>
          <w:lang w:eastAsia="zh-CN"/>
        </w:rPr>
      </w:pPr>
      <w:r>
        <w:rPr>
          <w:rFonts w:ascii="宋体" w:hAnsi="宋体" w:eastAsia="宋体" w:cs="宋体"/>
          <w:sz w:val="24"/>
          <w:szCs w:val="24"/>
        </w:rPr>
        <w:t>将投资者保护与教育工作做深、做实，让专业的金融知识不再是高高在上的术语，而成为社区居民看得懂、用得上的‘护身符’</w:t>
      </w:r>
      <w:r>
        <w:rPr>
          <w:rFonts w:hint="eastAsia" w:ascii="宋体" w:hAnsi="宋体" w:eastAsia="宋体" w:cs="宋体"/>
          <w:sz w:val="24"/>
          <w:szCs w:val="24"/>
          <w:lang w:eastAsia="zh-CN"/>
        </w:rPr>
        <w:t>。</w:t>
      </w:r>
      <w:r>
        <w:rPr>
          <w:rFonts w:ascii="宋体" w:hAnsi="宋体" w:eastAsia="宋体" w:cs="宋体"/>
          <w:sz w:val="24"/>
          <w:szCs w:val="24"/>
        </w:rPr>
        <w:t>坚定不移地担当起维护金融安全稳定的“市场卫士”角色，是</w:t>
      </w:r>
      <w:r>
        <w:rPr>
          <w:rFonts w:hint="eastAsia" w:ascii="宋体" w:hAnsi="宋体" w:eastAsia="宋体" w:cs="宋体"/>
          <w:sz w:val="24"/>
          <w:szCs w:val="24"/>
          <w:lang w:val="en-US" w:eastAsia="zh-CN"/>
        </w:rPr>
        <w:t>我们</w:t>
      </w:r>
      <w:r>
        <w:rPr>
          <w:rFonts w:ascii="宋体" w:hAnsi="宋体" w:eastAsia="宋体" w:cs="宋体"/>
          <w:sz w:val="24"/>
          <w:szCs w:val="24"/>
        </w:rPr>
        <w:t>其义不容辞的社会责任</w:t>
      </w:r>
      <w:r>
        <w:rPr>
          <w:rFonts w:hint="eastAsia" w:ascii="宋体" w:hAnsi="宋体" w:eastAsia="宋体" w:cs="宋体"/>
          <w:sz w:val="24"/>
          <w:szCs w:val="24"/>
          <w:lang w:eastAsia="zh-CN"/>
        </w:rPr>
        <w:t>。</w:t>
      </w:r>
      <w:r>
        <w:rPr>
          <w:rFonts w:ascii="宋体" w:hAnsi="宋体" w:eastAsia="宋体" w:cs="宋体"/>
          <w:sz w:val="24"/>
          <w:szCs w:val="24"/>
        </w:rPr>
        <w:t>此次结对共建，不仅是</w:t>
      </w:r>
      <w:r>
        <w:rPr>
          <w:rFonts w:hint="eastAsia" w:ascii="宋体" w:hAnsi="宋体" w:eastAsia="宋体" w:cs="宋体"/>
          <w:sz w:val="24"/>
          <w:szCs w:val="24"/>
          <w:lang w:val="en-US" w:eastAsia="zh-CN"/>
        </w:rPr>
        <w:t>营业</w:t>
      </w:r>
      <w:r>
        <w:rPr>
          <w:rFonts w:ascii="宋体" w:hAnsi="宋体" w:eastAsia="宋体" w:cs="宋体"/>
          <w:sz w:val="24"/>
          <w:szCs w:val="24"/>
        </w:rPr>
        <w:t>部深入社区、服务公众的一次重要实践，更是将专业的证券领域防非打非知识系统性注入基层治理网络的关键一步。通过与社区前哨员的紧密合作，</w:t>
      </w:r>
      <w:r>
        <w:rPr>
          <w:rFonts w:hint="eastAsia" w:ascii="宋体" w:hAnsi="宋体" w:eastAsia="宋体" w:cs="宋体"/>
          <w:sz w:val="24"/>
          <w:szCs w:val="24"/>
          <w:lang w:val="en-US" w:eastAsia="zh-CN"/>
        </w:rPr>
        <w:t>营业部</w:t>
      </w:r>
      <w:r>
        <w:rPr>
          <w:rFonts w:ascii="宋体" w:hAnsi="宋体" w:eastAsia="宋体" w:cs="宋体"/>
          <w:sz w:val="24"/>
          <w:szCs w:val="24"/>
        </w:rPr>
        <w:t>将能更及时地感知辖区涉非活动苗头，更精准地开展靶向宣传，为保护投资者合法权益、净化区域金融市场环境贡献专业的券商力量。</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p>
    <w:p>
      <w:pPr>
        <w:ind w:firstLine="480"/>
        <w:jc w:val="left"/>
        <w:rPr>
          <w:rFonts w:hint="eastAsia" w:ascii="宋体" w:hAnsi="宋体" w:eastAsia="宋体" w:cs="宋体"/>
          <w:sz w:val="24"/>
          <w:szCs w:val="24"/>
          <w:lang w:eastAsia="zh-CN"/>
        </w:rPr>
      </w:pPr>
    </w:p>
    <w:p>
      <w:pPr>
        <w:ind w:firstLine="480"/>
        <w:jc w:val="left"/>
        <w:rPr>
          <w:rFonts w:hint="eastAsia" w:ascii="宋体" w:hAnsi="宋体" w:eastAsia="宋体" w:cs="宋体"/>
          <w:sz w:val="24"/>
          <w:szCs w:val="24"/>
          <w:lang w:eastAsia="zh-CN"/>
        </w:rPr>
      </w:pPr>
    </w:p>
    <w:p>
      <w:pPr>
        <w:ind w:firstLine="48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中信证券华南股份有限公司</w:t>
      </w:r>
    </w:p>
    <w:p>
      <w:pPr>
        <w:ind w:left="6166" w:leftChars="342" w:hanging="5448" w:hangingChars="227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广州天河北路证券营业部 2026年3月16日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D4C6A"/>
    <w:rsid w:val="166B1256"/>
    <w:rsid w:val="200A5B20"/>
    <w:rsid w:val="22D53F72"/>
    <w:rsid w:val="23947097"/>
    <w:rsid w:val="2C6B1F6C"/>
    <w:rsid w:val="313227B3"/>
    <w:rsid w:val="360C562F"/>
    <w:rsid w:val="39030C94"/>
    <w:rsid w:val="49A13FEA"/>
    <w:rsid w:val="4C074AC8"/>
    <w:rsid w:val="537E38F5"/>
    <w:rsid w:val="55311752"/>
    <w:rsid w:val="61DB5099"/>
    <w:rsid w:val="6E721C38"/>
    <w:rsid w:val="709E2354"/>
    <w:rsid w:val="71D36ECE"/>
    <w:rsid w:val="7F254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Office_11.8.0.16969_F1E327BC-269C-435d-A152-05C5408002CA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035987</dc:creator>
  <cp:lastModifiedBy>035987</cp:lastModifiedBy>
  <dcterms:modified xsi:type="dcterms:W3CDTF">2026-03-16T06:17:49Z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2052-11.8.0.16969</vt:lpwstr>
  </property>
  <property fmtid="{D5CDD505-2E9C-101B-9397-08002B2CF9AE}" pid="3" name="ICV">
    <vt:lpwstr>B0C7D46483DC4F1E80EA26317BA27665</vt:lpwstr>
  </property>
</Properties>
</file>