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10348" w:type="dxa"/>
        <w:tblBorders>
          <w:top w:val="none" w:sz="0" w:space="0" w:color="auto"/>
          <w:left w:val="none" w:sz="0" w:space="0" w:color="auto"/>
          <w:bottom w:val="single" w:sz="12" w:space="0" w:color="B4302B"/>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588"/>
        <w:gridCol w:w="6760"/>
      </w:tblGrid>
      <w:tr w:rsidR="003B0AB9" w14:paraId="2DCD08D7" w14:textId="77777777" w:rsidTr="00C81AC2">
        <w:trPr>
          <w:trHeight w:hRule="exact" w:val="760"/>
        </w:trPr>
        <w:tc>
          <w:tcPr>
            <w:tcW w:w="3539" w:type="dxa"/>
          </w:tcPr>
          <w:p w14:paraId="57C323A1" w14:textId="3235BDC1" w:rsidR="003B0AB9" w:rsidRDefault="00C81AC2" w:rsidP="007553F6">
            <w:r>
              <w:rPr>
                <w:noProof/>
              </w:rPr>
              <w:drawing>
                <wp:inline distT="0" distB="0" distL="0" distR="0" wp14:anchorId="52BD72D9" wp14:editId="48EBD196">
                  <wp:extent cx="1926000" cy="378000"/>
                  <wp:effectExtent l="0" t="0" r="0" b="3175"/>
                  <wp:docPr id="18424466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46614" name=""/>
                          <pic:cNvPicPr/>
                        </pic:nvPicPr>
                        <pic:blipFill>
                          <a:blip r:embed="rId8"/>
                          <a:stretch>
                            <a:fillRect/>
                          </a:stretch>
                        </pic:blipFill>
                        <pic:spPr>
                          <a:xfrm>
                            <a:off x="0" y="0"/>
                            <a:ext cx="1926000" cy="378000"/>
                          </a:xfrm>
                          <a:prstGeom prst="rect">
                            <a:avLst/>
                          </a:prstGeom>
                        </pic:spPr>
                      </pic:pic>
                    </a:graphicData>
                  </a:graphic>
                </wp:inline>
              </w:drawing>
            </w:r>
          </w:p>
          <w:p w14:paraId="743AB718" w14:textId="77777777" w:rsidR="003B0AB9" w:rsidRDefault="003B0AB9" w:rsidP="007553F6"/>
          <w:p w14:paraId="0B8F0B3C" w14:textId="77777777" w:rsidR="003B0AB9" w:rsidRDefault="003B0AB9" w:rsidP="007553F6"/>
          <w:p w14:paraId="09AEA57D" w14:textId="77777777" w:rsidR="003B0AB9" w:rsidRDefault="003B0AB9" w:rsidP="007553F6"/>
        </w:tc>
        <w:tc>
          <w:tcPr>
            <w:tcW w:w="6667" w:type="dxa"/>
          </w:tcPr>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3B0AB9" w:rsidRPr="00AA4AF3" w14:paraId="42BF1194" w14:textId="77777777" w:rsidTr="007553F6">
              <w:trPr>
                <w:cantSplit/>
                <w:trHeight w:hRule="exact" w:val="23"/>
                <w:jc w:val="right"/>
              </w:trPr>
              <w:tc>
                <w:tcPr>
                  <w:tcW w:w="5106" w:type="dxa"/>
                </w:tcPr>
                <w:p w14:paraId="0C0F51BA" w14:textId="77777777" w:rsidR="003B0AB9" w:rsidRPr="00AA4AF3" w:rsidRDefault="003B0AB9" w:rsidP="007553F6">
                  <w:pPr>
                    <w:rPr>
                      <w:rFonts w:ascii="Times New Roman" w:hAnsi="Times New Roman" w:cs="Times New Roman"/>
                      <w:color w:val="000000" w:themeColor="text1"/>
                    </w:rPr>
                  </w:pPr>
                  <w:r w:rsidRPr="00AA4AF3">
                    <w:rPr>
                      <w:rFonts w:ascii="Times New Roman" w:hAnsi="Times New Roman" w:cs="Times New Roman"/>
                      <w:color w:val="000000" w:themeColor="text1"/>
                    </w:rPr>
                    <w:t>[</w:t>
                  </w:r>
                  <w:proofErr w:type="spellStart"/>
                  <w:r w:rsidRPr="00AA4AF3">
                    <w:rPr>
                      <w:rFonts w:ascii="Times New Roman" w:hAnsi="Times New Roman" w:cs="Times New Roman"/>
                      <w:color w:val="000000" w:themeColor="text1"/>
                    </w:rPr>
                    <w:t>Table_</w:t>
                  </w:r>
                  <w:r>
                    <w:rPr>
                      <w:rFonts w:ascii="Times New Roman" w:hAnsi="Times New Roman" w:cs="Times New Roman"/>
                      <w:color w:val="000000" w:themeColor="text1"/>
                    </w:rPr>
                    <w:t>RightTitle</w:t>
                  </w:r>
                  <w:proofErr w:type="spellEnd"/>
                  <w:r w:rsidRPr="00AA4AF3">
                    <w:rPr>
                      <w:rFonts w:ascii="Times New Roman" w:hAnsi="Times New Roman" w:cs="Times New Roman"/>
                      <w:color w:val="000000" w:themeColor="text1"/>
                    </w:rPr>
                    <w:t>]</w:t>
                  </w:r>
                </w:p>
              </w:tc>
            </w:tr>
            <w:tr w:rsidR="003B0AB9" w14:paraId="52253CB6" w14:textId="77777777" w:rsidTr="007553F6">
              <w:trPr>
                <w:cantSplit/>
                <w:trHeight w:hRule="exact" w:val="737"/>
                <w:jc w:val="right"/>
              </w:trPr>
              <w:tc>
                <w:tcPr>
                  <w:tcW w:w="5106" w:type="dxa"/>
                  <w:vAlign w:val="bottom"/>
                </w:tcPr>
                <w:p w14:paraId="37123FC5" w14:textId="0FA5FA45" w:rsidR="003B0AB9" w:rsidRPr="003937C6" w:rsidRDefault="003B0AB9" w:rsidP="007553F6">
                  <w:pPr>
                    <w:spacing w:line="0" w:lineRule="atLeast"/>
                    <w:jc w:val="right"/>
                    <w:rPr>
                      <w:rFonts w:ascii="楷体_GB2312" w:eastAsia="楷体_GB2312"/>
                    </w:rPr>
                  </w:pPr>
                  <w:r w:rsidRPr="003937C6">
                    <w:rPr>
                      <w:rFonts w:ascii="楷体_GB2312" w:eastAsia="楷体_GB2312" w:hAnsi="楷体" w:hint="eastAsia"/>
                      <w:b/>
                      <w:bCs/>
                      <w:color w:val="000000"/>
                      <w:sz w:val="28"/>
                      <w:szCs w:val="28"/>
                    </w:rPr>
                    <w:t>策略研究|策略</w:t>
                  </w:r>
                  <w:r w:rsidR="00C11AFA">
                    <w:rPr>
                      <w:rFonts w:ascii="楷体_GB2312" w:eastAsia="楷体_GB2312" w:hAnsi="楷体" w:hint="eastAsia"/>
                      <w:b/>
                      <w:bCs/>
                      <w:color w:val="000000"/>
                      <w:sz w:val="28"/>
                      <w:szCs w:val="28"/>
                    </w:rPr>
                    <w:t>跟踪</w:t>
                  </w:r>
                  <w:r w:rsidRPr="003937C6">
                    <w:rPr>
                      <w:rFonts w:ascii="楷体_GB2312" w:eastAsia="楷体_GB2312" w:hAnsi="楷体" w:hint="eastAsia"/>
                      <w:b/>
                      <w:bCs/>
                      <w:color w:val="000000"/>
                      <w:sz w:val="28"/>
                      <w:szCs w:val="28"/>
                    </w:rPr>
                    <w:t>报告</w:t>
                  </w:r>
                </w:p>
              </w:tc>
            </w:tr>
          </w:tbl>
          <w:p w14:paraId="7996EB47" w14:textId="77777777" w:rsidR="003B0AB9" w:rsidRPr="004C2C89" w:rsidRDefault="003B0AB9" w:rsidP="007553F6">
            <w:pPr>
              <w:spacing w:line="14" w:lineRule="exact"/>
            </w:pPr>
          </w:p>
        </w:tc>
      </w:tr>
    </w:tbl>
    <w:p w14:paraId="2DD8F84C" w14:textId="77777777" w:rsidR="003B0AB9" w:rsidRDefault="003B0AB9" w:rsidP="003B0AB9">
      <w:pPr>
        <w:spacing w:line="14" w:lineRule="exact"/>
        <w:sectPr w:rsidR="003B0AB9" w:rsidSect="00097663">
          <w:headerReference w:type="default" r:id="rId9"/>
          <w:footerReference w:type="default" r:id="rId10"/>
          <w:headerReference w:type="first" r:id="rId11"/>
          <w:pgSz w:w="11906" w:h="16838"/>
          <w:pgMar w:top="709" w:right="851" w:bottom="851" w:left="1134" w:header="283" w:footer="283" w:gutter="0"/>
          <w:cols w:space="425"/>
          <w:titlePg/>
          <w:docGrid w:type="linesAndChars" w:linePitch="312"/>
        </w:sectPr>
      </w:pPr>
      <w:r w:rsidRPr="00412979">
        <w:rPr>
          <w:rFonts w:ascii="楷体" w:eastAsia="楷体" w:hAnsi="楷体" w:cs="Times New Roman"/>
          <w:b/>
          <w:bCs/>
          <w:noProof/>
          <w:color w:val="FFFFFF"/>
        </w:rPr>
        <mc:AlternateContent>
          <mc:Choice Requires="wpg">
            <w:drawing>
              <wp:anchor distT="0" distB="0" distL="114300" distR="114300" simplePos="0" relativeHeight="251659264" behindDoc="0" locked="0" layoutInCell="1" allowOverlap="1" wp14:anchorId="66ABC6C9" wp14:editId="7FF44814">
                <wp:simplePos x="0" y="0"/>
                <wp:positionH relativeFrom="column">
                  <wp:posOffset>-742502</wp:posOffset>
                </wp:positionH>
                <wp:positionV relativeFrom="paragraph">
                  <wp:posOffset>-951865</wp:posOffset>
                </wp:positionV>
                <wp:extent cx="563880" cy="10994390"/>
                <wp:effectExtent l="0" t="0" r="7620" b="0"/>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10994390"/>
                          <a:chOff x="-352" y="-512"/>
                          <a:chExt cx="888" cy="17401"/>
                        </a:xfrm>
                      </wpg:grpSpPr>
                      <wps:wsp>
                        <wps:cNvPr id="7" name="AutoShape 4"/>
                        <wps:cNvSpPr>
                          <a:spLocks noChangeArrowheads="1"/>
                        </wps:cNvSpPr>
                        <wps:spPr bwMode="auto">
                          <a:xfrm>
                            <a:off x="-352" y="1844"/>
                            <a:ext cx="882" cy="15045"/>
                          </a:xfrm>
                          <a:prstGeom prst="downArrow">
                            <a:avLst>
                              <a:gd name="adj1" fmla="val 100000"/>
                              <a:gd name="adj2" fmla="val 0"/>
                            </a:avLst>
                          </a:prstGeom>
                          <a:solidFill>
                            <a:srgbClr val="E5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6ACA" w14:textId="77777777"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证券研究报告</w:t>
                              </w:r>
                            </w:p>
                            <w:p w14:paraId="0D45BBFA" w14:textId="77777777" w:rsidR="003B0AB9" w:rsidRDefault="003B0AB9" w:rsidP="003B0AB9"/>
                          </w:txbxContent>
                        </wps:txbx>
                        <wps:bodyPr rot="0" vert="eaVert" wrap="square" lIns="91440" tIns="45720" rIns="91440" bIns="45720" anchor="t" anchorCtr="0" upright="1">
                          <a:noAutofit/>
                        </wps:bodyPr>
                      </wps:wsp>
                      <wps:wsp>
                        <wps:cNvPr id="8" name="AutoShape 5"/>
                        <wps:cNvSpPr>
                          <a:spLocks noChangeArrowheads="1"/>
                        </wps:cNvSpPr>
                        <wps:spPr bwMode="auto">
                          <a:xfrm>
                            <a:off x="-352" y="3167"/>
                            <a:ext cx="888" cy="4050"/>
                          </a:xfrm>
                          <a:prstGeom prst="downArrow">
                            <a:avLst>
                              <a:gd name="adj1" fmla="val 100000"/>
                              <a:gd name="adj2" fmla="val 8224"/>
                            </a:avLst>
                          </a:prstGeom>
                          <a:solidFill>
                            <a:srgbClr val="E695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E298" w14:textId="43D7C054"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策略</w:t>
                              </w:r>
                              <w:r w:rsidR="00C11AFA" w:rsidRPr="003A5B09">
                                <w:rPr>
                                  <w:rFonts w:ascii="楷体_GB2312" w:eastAsia="楷体_GB2312" w:hAnsi="楷体" w:hint="eastAsia"/>
                                  <w:b/>
                                  <w:color w:val="FFFFFF" w:themeColor="background1"/>
                                  <w:sz w:val="32"/>
                                </w:rPr>
                                <w:t>跟踪</w:t>
                              </w:r>
                              <w:r w:rsidRPr="003A5B09">
                                <w:rPr>
                                  <w:rFonts w:ascii="楷体_GB2312" w:eastAsia="楷体_GB2312" w:hAnsi="楷体" w:hint="eastAsia"/>
                                  <w:b/>
                                  <w:color w:val="FFFFFF" w:themeColor="background1"/>
                                  <w:sz w:val="32"/>
                                </w:rPr>
                                <w:t>报告</w:t>
                              </w:r>
                            </w:p>
                          </w:txbxContent>
                        </wps:txbx>
                        <wps:bodyPr rot="0" vert="eaVert" wrap="square" lIns="91440" tIns="45720" rIns="91440" bIns="45720" anchor="t" anchorCtr="0" upright="1">
                          <a:noAutofit/>
                        </wps:bodyPr>
                      </wps:wsp>
                      <wps:wsp>
                        <wps:cNvPr id="9" name="AutoShape 6"/>
                        <wps:cNvSpPr>
                          <a:spLocks noChangeArrowheads="1"/>
                        </wps:cNvSpPr>
                        <wps:spPr bwMode="auto">
                          <a:xfrm>
                            <a:off x="-352" y="-512"/>
                            <a:ext cx="882" cy="4050"/>
                          </a:xfrm>
                          <a:prstGeom prst="downArrow">
                            <a:avLst>
                              <a:gd name="adj1" fmla="val 100000"/>
                              <a:gd name="adj2" fmla="val 8283"/>
                            </a:avLst>
                          </a:prstGeom>
                          <a:solidFill>
                            <a:srgbClr val="B430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733F7" w14:textId="085A8928"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策略</w:t>
                              </w:r>
                              <w:r w:rsidR="00C659B3" w:rsidRPr="003A5B09">
                                <w:rPr>
                                  <w:rFonts w:ascii="楷体_GB2312" w:eastAsia="楷体_GB2312" w:hAnsi="楷体" w:hint="eastAsia"/>
                                  <w:b/>
                                  <w:color w:val="FFFFFF" w:themeColor="background1"/>
                                  <w:sz w:val="32"/>
                                </w:rPr>
                                <w:t>研究</w:t>
                              </w:r>
                            </w:p>
                            <w:p w14:paraId="4D91605F" w14:textId="77777777" w:rsidR="003B0AB9" w:rsidRDefault="003B0AB9" w:rsidP="003B0AB9"/>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BC6C9" id="组合 6" o:spid="_x0000_s1026" style="position:absolute;left:0;text-align:left;margin-left:-58.45pt;margin-top:-74.95pt;width:44.4pt;height:865.7pt;z-index:251659264" coordorigin="-352,-512" coordsize="888,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7" type="#_x0000_t67" style="position:absolute;left:-352;top:1844;width:882;height:15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" adj="21600,0" fillcolor="#e5b8b7" stroked="f">
                  <v:textbox style="layout-flow:vertical-ideographic">
                    <w:txbxContent>
                      <w:p w14:paraId="57986ACA" w14:textId="77777777"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证券研究报告</w:t>
                        </w:r>
                      </w:p>
                      <w:p w14:paraId="0D45BBFA" w14:textId="77777777" w:rsidR="003B0AB9" w:rsidRDefault="003B0AB9" w:rsidP="003B0AB9"/>
                    </w:txbxContent>
                  </v:textbox>
                </v:shape>
                <v:shape id="AutoShape 5" o:spid="_x0000_s1028" type="#_x0000_t67" style="position:absolute;left:-352;top:3167;width:888;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" adj="21211,0" fillcolor="#e69594" stroked="f">
                  <v:textbox style="layout-flow:vertical-ideographic">
                    <w:txbxContent>
                      <w:p w14:paraId="583FE298" w14:textId="43D7C054"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策略</w:t>
                        </w:r>
                        <w:r w:rsidR="00C11AFA" w:rsidRPr="003A5B09">
                          <w:rPr>
                            <w:rFonts w:ascii="楷体_GB2312" w:eastAsia="楷体_GB2312" w:hAnsi="楷体" w:hint="eastAsia"/>
                            <w:b/>
                            <w:color w:val="FFFFFF" w:themeColor="background1"/>
                            <w:sz w:val="32"/>
                          </w:rPr>
                          <w:t>跟踪</w:t>
                        </w:r>
                        <w:r w:rsidRPr="003A5B09">
                          <w:rPr>
                            <w:rFonts w:ascii="楷体_GB2312" w:eastAsia="楷体_GB2312" w:hAnsi="楷体" w:hint="eastAsia"/>
                            <w:b/>
                            <w:color w:val="FFFFFF" w:themeColor="background1"/>
                            <w:sz w:val="32"/>
                          </w:rPr>
                          <w:t>报告</w:t>
                        </w:r>
                      </w:p>
                    </w:txbxContent>
                  </v:textbox>
                </v:shape>
                <v:shape id="AutoShape 6" o:spid="_x0000_s1029" type="#_x0000_t67" style="position:absolute;left:-352;top:-512;width:882;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" adj="21210,0" fillcolor="#b4302b" stroked="f">
                  <v:textbox style="layout-flow:vertical-ideographic">
                    <w:txbxContent>
                      <w:p w14:paraId="53F733F7" w14:textId="085A8928" w:rsidR="003B0AB9" w:rsidRPr="003A5B09" w:rsidRDefault="003B0AB9" w:rsidP="003B0AB9">
                        <w:pPr>
                          <w:jc w:val="center"/>
                          <w:rPr>
                            <w:rFonts w:ascii="楷体_GB2312" w:eastAsia="楷体_GB2312" w:hAnsi="楷体"/>
                            <w:b/>
                            <w:color w:val="FFFFFF" w:themeColor="background1"/>
                            <w:sz w:val="32"/>
                          </w:rPr>
                        </w:pPr>
                        <w:r w:rsidRPr="003A5B09">
                          <w:rPr>
                            <w:rFonts w:ascii="楷体_GB2312" w:eastAsia="楷体_GB2312" w:hAnsi="楷体" w:hint="eastAsia"/>
                            <w:b/>
                            <w:color w:val="FFFFFF" w:themeColor="background1"/>
                            <w:sz w:val="32"/>
                          </w:rPr>
                          <w:t>策略</w:t>
                        </w:r>
                        <w:r w:rsidR="00C659B3" w:rsidRPr="003A5B09">
                          <w:rPr>
                            <w:rFonts w:ascii="楷体_GB2312" w:eastAsia="楷体_GB2312" w:hAnsi="楷体" w:hint="eastAsia"/>
                            <w:b/>
                            <w:color w:val="FFFFFF" w:themeColor="background1"/>
                            <w:sz w:val="32"/>
                          </w:rPr>
                          <w:t>研究</w:t>
                        </w:r>
                      </w:p>
                      <w:p w14:paraId="4D91605F" w14:textId="77777777" w:rsidR="003B0AB9" w:rsidRDefault="003B0AB9" w:rsidP="003B0AB9"/>
                    </w:txbxContent>
                  </v:textbox>
                </v:shape>
              </v:group>
            </w:pict>
          </mc:Fallback>
        </mc:AlternateContent>
      </w:r>
    </w:p>
    <w:tbl>
      <w:tblPr>
        <w:tblStyle w:val="a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3402"/>
      </w:tblGrid>
      <w:tr w:rsidR="003B0AB9" w14:paraId="60265751" w14:textId="77777777" w:rsidTr="00C81AC2">
        <w:trPr>
          <w:cantSplit/>
          <w:trHeight w:hRule="exact" w:val="1134"/>
        </w:trPr>
        <w:tc>
          <w:tcPr>
            <w:tcW w:w="6946" w:type="dxa"/>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tblGrid>
            <w:tr w:rsidR="003B0AB9" w14:paraId="41395C4A" w14:textId="77777777" w:rsidTr="007553F6">
              <w:trPr>
                <w:cantSplit/>
                <w:trHeight w:hRule="exact" w:val="23"/>
              </w:trPr>
              <w:tc>
                <w:tcPr>
                  <w:tcW w:w="6936" w:type="dxa"/>
                </w:tcPr>
                <w:p w14:paraId="77BA4D6E" w14:textId="77777777" w:rsidR="003B0AB9" w:rsidRDefault="003B0AB9" w:rsidP="007553F6">
                  <w:pPr>
                    <w:jc w:val="left"/>
                    <w:rPr>
                      <w:rFonts w:ascii="楷体_GB2312" w:eastAsia="楷体_GB2312" w:hAnsi="楷体"/>
                      <w:b/>
                      <w:sz w:val="36"/>
                      <w:szCs w:val="36"/>
                    </w:rPr>
                  </w:pPr>
                  <w:r w:rsidRPr="00DF64B0">
                    <w:rPr>
                      <w:rFonts w:ascii="Times New Roman" w:eastAsia="楷体_GB2312" w:hAnsi="Times New Roman" w:cs="Times New Roman"/>
                      <w:color w:val="FFFFFF" w:themeColor="background1"/>
                    </w:rPr>
                    <w:t>[</w:t>
                  </w:r>
                  <w:proofErr w:type="spellStart"/>
                  <w:r w:rsidRPr="00DF64B0">
                    <w:rPr>
                      <w:rFonts w:ascii="Times New Roman" w:eastAsia="楷体_GB2312" w:hAnsi="Times New Roman" w:cs="Times New Roman"/>
                      <w:color w:val="FFFFFF" w:themeColor="background1"/>
                    </w:rPr>
                    <w:t>Table_Title</w:t>
                  </w:r>
                  <w:proofErr w:type="spellEnd"/>
                  <w:r w:rsidRPr="00DF64B0">
                    <w:rPr>
                      <w:rFonts w:ascii="Times New Roman" w:eastAsia="楷体_GB2312" w:hAnsi="Times New Roman" w:cs="Times New Roman"/>
                      <w:color w:val="FFFFFF" w:themeColor="background1"/>
                    </w:rPr>
                    <w:t>]</w:t>
                  </w:r>
                </w:p>
              </w:tc>
            </w:tr>
            <w:tr w:rsidR="003B0AB9" w14:paraId="30791906" w14:textId="77777777" w:rsidTr="007553F6">
              <w:trPr>
                <w:cantSplit/>
                <w:trHeight w:hRule="exact" w:val="1134"/>
              </w:trPr>
              <w:tc>
                <w:tcPr>
                  <w:tcW w:w="6936" w:type="dxa"/>
                  <w:vAlign w:val="center"/>
                </w:tcPr>
                <w:p w14:paraId="509648F1" w14:textId="5CABF3A8" w:rsidR="003B0AB9" w:rsidRDefault="00BC327F" w:rsidP="007553F6">
                  <w:pPr>
                    <w:rPr>
                      <w:rFonts w:ascii="楷体_GB2312" w:eastAsia="楷体_GB2312" w:hAnsi="楷体"/>
                      <w:b/>
                      <w:sz w:val="36"/>
                      <w:szCs w:val="36"/>
                    </w:rPr>
                  </w:pPr>
                  <w:r w:rsidRPr="00BC327F">
                    <w:rPr>
                      <w:rFonts w:ascii="楷体_GB2312" w:eastAsia="楷体_GB2312" w:hAnsi="楷体" w:hint="eastAsia"/>
                      <w:b/>
                      <w:sz w:val="36"/>
                      <w:szCs w:val="36"/>
                    </w:rPr>
                    <w:t>资本市场</w:t>
                  </w:r>
                  <w:r w:rsidR="00282E41">
                    <w:rPr>
                      <w:rFonts w:ascii="楷体_GB2312" w:eastAsia="楷体_GB2312" w:hAnsi="楷体" w:hint="eastAsia"/>
                      <w:b/>
                      <w:sz w:val="36"/>
                      <w:szCs w:val="36"/>
                    </w:rPr>
                    <w:t>新</w:t>
                  </w:r>
                  <w:r w:rsidRPr="00BC327F">
                    <w:rPr>
                      <w:rFonts w:ascii="楷体_GB2312" w:eastAsia="楷体_GB2312" w:hAnsi="楷体" w:hint="eastAsia"/>
                      <w:b/>
                      <w:sz w:val="36"/>
                      <w:szCs w:val="36"/>
                    </w:rPr>
                    <w:t>“国九条”发布</w:t>
                  </w:r>
                  <w:r w:rsidR="00F538AE">
                    <w:rPr>
                      <w:rFonts w:ascii="楷体_GB2312" w:eastAsia="楷体_GB2312" w:hAnsi="楷体" w:hint="eastAsia"/>
                      <w:b/>
                      <w:sz w:val="36"/>
                      <w:szCs w:val="36"/>
                    </w:rPr>
                    <w:t>，“1+N”政策体系形成</w:t>
                  </w:r>
                </w:p>
              </w:tc>
            </w:tr>
          </w:tbl>
          <w:p w14:paraId="30C1BBFE" w14:textId="77777777" w:rsidR="003B0AB9" w:rsidRPr="00740013" w:rsidRDefault="003B0AB9" w:rsidP="007553F6">
            <w:pPr>
              <w:jc w:val="left"/>
              <w:rPr>
                <w:rFonts w:ascii="楷体_GB2312" w:eastAsia="楷体_GB2312" w:hAnsi="楷体"/>
                <w:b/>
                <w:sz w:val="36"/>
                <w:szCs w:val="36"/>
              </w:rPr>
            </w:pPr>
          </w:p>
        </w:tc>
        <w:tc>
          <w:tcPr>
            <w:tcW w:w="3402" w:type="dxa"/>
            <w:shd w:val="clear" w:color="auto" w:fill="E7E6E6"/>
          </w:tcPr>
          <w:p w14:paraId="1355DDB0" w14:textId="77777777" w:rsidR="003B0AB9" w:rsidRPr="003D13C7" w:rsidRDefault="003B0AB9" w:rsidP="007553F6">
            <w:pPr>
              <w:spacing w:line="14" w:lineRule="exact"/>
              <w:jc w:val="center"/>
            </w:pPr>
          </w:p>
        </w:tc>
      </w:tr>
      <w:tr w:rsidR="003B0AB9" w14:paraId="6E6FD628" w14:textId="77777777" w:rsidTr="00C81AC2">
        <w:trPr>
          <w:cantSplit/>
        </w:trPr>
        <w:tc>
          <w:tcPr>
            <w:tcW w:w="6946" w:type="dxa"/>
            <w:tcBorders>
              <w:bottom w:val="single" w:sz="36" w:space="0" w:color="B4302B"/>
            </w:tcBorders>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tblGrid>
            <w:tr w:rsidR="00C81AC2" w:rsidRPr="00364C0A" w14:paraId="0A73A879" w14:textId="77777777" w:rsidTr="00C42A0E">
              <w:trPr>
                <w:cantSplit/>
                <w:trHeight w:hRule="exact" w:val="23"/>
              </w:trPr>
              <w:tc>
                <w:tcPr>
                  <w:tcW w:w="6936" w:type="dxa"/>
                </w:tcPr>
                <w:p w14:paraId="47365550" w14:textId="77777777" w:rsidR="00C81AC2" w:rsidRPr="00364C0A" w:rsidRDefault="00C81AC2" w:rsidP="00C81AC2">
                  <w:pPr>
                    <w:jc w:val="left"/>
                    <w:rPr>
                      <w:rFonts w:ascii="Times New Roman" w:eastAsia="楷体_GB2312" w:hAnsi="Times New Roman" w:cs="Times New Roman"/>
                      <w:color w:val="000000" w:themeColor="text1"/>
                    </w:rPr>
                  </w:pPr>
                  <w:r w:rsidRPr="00364C0A">
                    <w:rPr>
                      <w:rFonts w:ascii="Times New Roman" w:eastAsia="楷体_GB2312" w:hAnsi="Times New Roman" w:cs="Times New Roman"/>
                      <w:color w:val="000000" w:themeColor="text1"/>
                    </w:rPr>
                    <w:t>[Table_Report</w:t>
                  </w:r>
                  <w:r>
                    <w:rPr>
                      <w:rFonts w:ascii="Times New Roman" w:eastAsia="楷体_GB2312" w:hAnsi="Times New Roman" w:cs="Times New Roman"/>
                      <w:color w:val="000000" w:themeColor="text1"/>
                    </w:rPr>
                    <w:t>Type</w:t>
                  </w:r>
                  <w:r w:rsidRPr="00364C0A">
                    <w:rPr>
                      <w:rFonts w:ascii="Times New Roman" w:eastAsia="楷体_GB2312" w:hAnsi="Times New Roman" w:cs="Times New Roman"/>
                      <w:color w:val="000000" w:themeColor="text1"/>
                    </w:rPr>
                    <w:t>]</w:t>
                  </w:r>
                </w:p>
              </w:tc>
            </w:tr>
            <w:tr w:rsidR="00C81AC2" w14:paraId="76DD12FA" w14:textId="77777777" w:rsidTr="00C42A0E">
              <w:trPr>
                <w:cantSplit/>
              </w:trPr>
              <w:tc>
                <w:tcPr>
                  <w:tcW w:w="6936" w:type="dxa"/>
                </w:tcPr>
                <w:p w14:paraId="1212D0B3" w14:textId="77777777" w:rsidR="00C81AC2" w:rsidRPr="00504319" w:rsidRDefault="00C81AC2" w:rsidP="00C81AC2">
                  <w:pPr>
                    <w:spacing w:line="360" w:lineRule="auto"/>
                    <w:jc w:val="right"/>
                    <w:rPr>
                      <w:rFonts w:ascii="Times New Roman" w:eastAsia="楷体_GB2312" w:hAnsi="Times New Roman"/>
                    </w:rPr>
                  </w:pPr>
                  <w:r w:rsidRPr="00504319">
                    <w:rPr>
                      <w:rFonts w:ascii="Times New Roman" w:eastAsia="楷体_GB2312" w:hAnsi="Times New Roman" w:cs="Times New Roman"/>
                      <w:b/>
                      <w:bCs/>
                      <w:sz w:val="28"/>
                      <w:szCs w:val="28"/>
                    </w:rPr>
                    <w:t>——</w:t>
                  </w:r>
                  <w:r w:rsidRPr="00504319">
                    <w:rPr>
                      <w:rFonts w:ascii="Times New Roman" w:eastAsia="楷体_GB2312" w:hAnsi="Times New Roman" w:hint="eastAsia"/>
                      <w:b/>
                      <w:bCs/>
                      <w:color w:val="000000"/>
                      <w:sz w:val="28"/>
                      <w:szCs w:val="28"/>
                    </w:rPr>
                    <w:t>策略跟踪报告</w:t>
                  </w:r>
                </w:p>
              </w:tc>
            </w:tr>
          </w:tbl>
          <w:p w14:paraId="0B9F9594" w14:textId="77777777" w:rsidR="003B0AB9" w:rsidRPr="00247FC6" w:rsidRDefault="003B0AB9" w:rsidP="007553F6">
            <w:pPr>
              <w:jc w:val="right"/>
              <w:rPr>
                <w:rFonts w:ascii="楷体_GB2312" w:eastAsia="楷体_GB2312"/>
              </w:rPr>
            </w:pPr>
          </w:p>
        </w:tc>
        <w:tc>
          <w:tcPr>
            <w:tcW w:w="3402" w:type="dxa"/>
            <w:shd w:val="clear" w:color="auto" w:fill="E7E6E6"/>
          </w:tcPr>
          <w:tbl>
            <w:tblPr>
              <w:tblW w:w="0" w:type="auto"/>
              <w:jc w:val="center"/>
              <w:tblLayout w:type="fixed"/>
              <w:tblCellMar>
                <w:left w:w="10" w:type="dxa"/>
                <w:right w:w="10" w:type="dxa"/>
              </w:tblCellMar>
              <w:tblLook w:val="04A0" w:firstRow="1" w:lastRow="0" w:firstColumn="1" w:lastColumn="0" w:noHBand="0" w:noVBand="1"/>
            </w:tblPr>
            <w:tblGrid>
              <w:gridCol w:w="3351"/>
            </w:tblGrid>
            <w:tr w:rsidR="001621E0" w14:paraId="1E90631A" w14:textId="77777777" w:rsidTr="00407775">
              <w:trPr>
                <w:cantSplit/>
                <w:trHeight w:hRule="exact" w:val="23"/>
                <w:jc w:val="center"/>
              </w:trPr>
              <w:tc>
                <w:tcPr>
                  <w:tcW w:w="3351" w:type="dxa"/>
                </w:tcPr>
                <w:p w14:paraId="1BF84589" w14:textId="77777777" w:rsidR="001621E0" w:rsidRPr="00DF64B0" w:rsidRDefault="001621E0" w:rsidP="00407775">
                  <w:pPr>
                    <w:rPr>
                      <w:rFonts w:ascii="Times New Roman" w:hAnsi="Times New Roman" w:cs="Times New Roman"/>
                    </w:rPr>
                  </w:pPr>
                  <w:r w:rsidRPr="00DF64B0">
                    <w:rPr>
                      <w:rFonts w:ascii="Times New Roman" w:hAnsi="Times New Roman" w:cs="Times New Roman"/>
                      <w:color w:val="FFFFFF" w:themeColor="background1"/>
                    </w:rPr>
                    <w:t>[</w:t>
                  </w:r>
                  <w:proofErr w:type="spellStart"/>
                  <w:r w:rsidRPr="00DF64B0">
                    <w:rPr>
                      <w:rFonts w:ascii="Times New Roman" w:hAnsi="Times New Roman" w:cs="Times New Roman"/>
                      <w:color w:val="FFFFFF" w:themeColor="background1"/>
                    </w:rPr>
                    <w:t>Table_ReportDate</w:t>
                  </w:r>
                  <w:proofErr w:type="spellEnd"/>
                  <w:r w:rsidRPr="00DF64B0">
                    <w:rPr>
                      <w:rFonts w:ascii="Times New Roman" w:hAnsi="Times New Roman" w:cs="Times New Roman"/>
                      <w:color w:val="FFFFFF" w:themeColor="background1"/>
                    </w:rPr>
                    <w:t>]</w:t>
                  </w:r>
                </w:p>
              </w:tc>
            </w:tr>
            <w:tr w:rsidR="001621E0" w14:paraId="5D5015FD" w14:textId="77777777" w:rsidTr="00407775">
              <w:trPr>
                <w:cantSplit/>
                <w:trHeight w:hRule="exact" w:val="599"/>
                <w:jc w:val="center"/>
              </w:trPr>
              <w:tc>
                <w:tcPr>
                  <w:tcW w:w="3351" w:type="dxa"/>
                  <w:vAlign w:val="center"/>
                </w:tcPr>
                <w:p w14:paraId="2436971E" w14:textId="77777777" w:rsidR="001621E0" w:rsidRPr="009B0CEB" w:rsidRDefault="001621E0" w:rsidP="00407775">
                  <w:pPr>
                    <w:jc w:val="center"/>
                    <w:rPr>
                      <w:rFonts w:ascii="楷体_GB2312" w:eastAsia="楷体_GB2312"/>
                    </w:rPr>
                  </w:pPr>
                  <w:r w:rsidRPr="009B0CEB">
                    <w:rPr>
                      <w:rFonts w:ascii="Times New Roman" w:eastAsia="楷体_GB2312" w:hAnsi="Times New Roman" w:cs="Times New Roman" w:hint="eastAsia"/>
                    </w:rPr>
                    <w:t>2024</w:t>
                  </w:r>
                  <w:r w:rsidRPr="009B0CEB">
                    <w:rPr>
                      <w:rFonts w:ascii="Times New Roman" w:eastAsia="楷体_GB2312" w:hAnsi="Times New Roman" w:cs="Times New Roman" w:hint="eastAsia"/>
                    </w:rPr>
                    <w:t>年</w:t>
                  </w:r>
                  <w:r w:rsidRPr="009B0CEB">
                    <w:rPr>
                      <w:rFonts w:ascii="Times New Roman" w:eastAsia="楷体_GB2312" w:hAnsi="Times New Roman" w:cs="Times New Roman" w:hint="eastAsia"/>
                    </w:rPr>
                    <w:t>04</w:t>
                  </w:r>
                  <w:r w:rsidRPr="009B0CEB">
                    <w:rPr>
                      <w:rFonts w:ascii="Times New Roman" w:eastAsia="楷体_GB2312" w:hAnsi="Times New Roman" w:cs="Times New Roman" w:hint="eastAsia"/>
                    </w:rPr>
                    <w:t>月</w:t>
                  </w:r>
                  <w:r w:rsidRPr="009B0CEB">
                    <w:rPr>
                      <w:rFonts w:ascii="Times New Roman" w:eastAsia="楷体_GB2312" w:hAnsi="Times New Roman" w:cs="Times New Roman" w:hint="eastAsia"/>
                    </w:rPr>
                    <w:t>13</w:t>
                  </w:r>
                  <w:r w:rsidRPr="009B0CEB">
                    <w:rPr>
                      <w:rFonts w:ascii="Times New Roman" w:eastAsia="楷体_GB2312" w:hAnsi="Times New Roman" w:cs="Times New Roman" w:hint="eastAsia"/>
                    </w:rPr>
                    <w:t>日</w:t>
                  </w:r>
                </w:p>
              </w:tc>
            </w:tr>
          </w:tbl>
          <w:p w14:paraId="406B462C" w14:textId="77777777" w:rsidR="003B0AB9" w:rsidRPr="004B12EE" w:rsidRDefault="003B0AB9" w:rsidP="001621E0">
            <w:pPr>
              <w:spacing w:line="20" w:lineRule="exact"/>
              <w:jc w:val="center"/>
            </w:pPr>
          </w:p>
        </w:tc>
      </w:tr>
    </w:tbl>
    <w:p w14:paraId="5377A402" w14:textId="77777777" w:rsidR="003B0AB9" w:rsidRDefault="003B0AB9" w:rsidP="003B0AB9">
      <w:pPr>
        <w:spacing w:line="14" w:lineRule="exact"/>
        <w:sectPr w:rsidR="003B0AB9" w:rsidSect="00097663">
          <w:type w:val="continuous"/>
          <w:pgSz w:w="11906" w:h="16838"/>
          <w:pgMar w:top="709" w:right="851" w:bottom="851" w:left="1134" w:header="851" w:footer="992" w:gutter="0"/>
          <w:cols w:space="425"/>
          <w:docGrid w:type="linesAndChars" w:linePitch="312"/>
        </w:sectPr>
      </w:pPr>
    </w:p>
    <w:tbl>
      <w:tblPr>
        <w:tblStyle w:val="ad"/>
        <w:tblpPr w:leftFromText="181" w:rightFromText="181" w:vertAnchor="text" w:horzAnchor="margin" w:tblpX="7003" w:tblpY="1"/>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0" w:type="dxa"/>
          <w:right w:w="0" w:type="dxa"/>
        </w:tblCellMar>
        <w:tblLook w:val="04A0" w:firstRow="1" w:lastRow="0" w:firstColumn="1" w:lastColumn="0" w:noHBand="0" w:noVBand="1"/>
      </w:tblPr>
      <w:tblGrid>
        <w:gridCol w:w="3402"/>
      </w:tblGrid>
      <w:tr w:rsidR="003B0AB9" w14:paraId="173A24CE" w14:textId="77777777" w:rsidTr="007553F6">
        <w:trPr>
          <w:trHeight w:hRule="exact" w:val="5103"/>
        </w:trPr>
        <w:tc>
          <w:tcPr>
            <w:tcW w:w="3402" w:type="dxa"/>
            <w:shd w:val="clear" w:color="auto" w:fill="E7E6E6" w:themeFill="background2"/>
          </w:tcPr>
          <w:tbl>
            <w:tblPr>
              <w:tblW w:w="3402" w:type="dxa"/>
              <w:tblLayout w:type="fixed"/>
              <w:tblCellMar>
                <w:left w:w="10" w:type="dxa"/>
                <w:right w:w="10" w:type="dxa"/>
              </w:tblCellMar>
              <w:tblLook w:val="04A0" w:firstRow="1" w:lastRow="0" w:firstColumn="1" w:lastColumn="0" w:noHBand="0" w:noVBand="1"/>
            </w:tblPr>
            <w:tblGrid>
              <w:gridCol w:w="1417"/>
              <w:gridCol w:w="1985"/>
            </w:tblGrid>
            <w:tr w:rsidR="001621E0" w14:paraId="748CD6C4" w14:textId="77777777" w:rsidTr="00F523D7">
              <w:trPr>
                <w:trHeight w:hRule="exact" w:val="23"/>
              </w:trPr>
              <w:tc>
                <w:tcPr>
                  <w:tcW w:w="5000" w:type="pct"/>
                  <w:gridSpan w:val="2"/>
                  <w:shd w:val="clear" w:color="auto" w:fill="auto"/>
                </w:tcPr>
                <w:p w14:paraId="477F2A76" w14:textId="77777777" w:rsidR="001621E0" w:rsidRPr="006F1E66" w:rsidRDefault="001621E0" w:rsidP="00F523D7">
                  <w:pPr>
                    <w:framePr w:hSpace="181" w:wrap="around" w:vAnchor="text" w:hAnchor="margin" w:x="7003" w:y="1"/>
                    <w:suppressOverlap/>
                    <w:rPr>
                      <w:rFonts w:ascii="Times New Roman" w:hAnsi="Times New Roman" w:cs="Times New Roman"/>
                    </w:rPr>
                  </w:pPr>
                  <w:bookmarkStart w:id="6" w:name="_Hlk56974256"/>
                  <w:bookmarkStart w:id="7" w:name="_Hlk55983955"/>
                  <w:r w:rsidRPr="006F1E66">
                    <w:rPr>
                      <w:rFonts w:ascii="Times New Roman" w:hAnsi="Times New Roman" w:cs="Times New Roman"/>
                      <w:color w:val="FFFFFF" w:themeColor="background1"/>
                    </w:rPr>
                    <w:t>[</w:t>
                  </w:r>
                  <w:proofErr w:type="spellStart"/>
                  <w:r w:rsidRPr="006F1E66">
                    <w:rPr>
                      <w:rFonts w:ascii="Times New Roman" w:hAnsi="Times New Roman" w:cs="Times New Roman"/>
                      <w:color w:val="FFFFFF" w:themeColor="background1"/>
                    </w:rPr>
                    <w:t>Table_Authors</w:t>
                  </w:r>
                  <w:proofErr w:type="spellEnd"/>
                  <w:r w:rsidRPr="006F1E66">
                    <w:rPr>
                      <w:rFonts w:ascii="Times New Roman" w:hAnsi="Times New Roman" w:cs="Times New Roman"/>
                      <w:color w:val="FFFFFF" w:themeColor="background1"/>
                    </w:rPr>
                    <w:t>]</w:t>
                  </w:r>
                </w:p>
              </w:tc>
            </w:tr>
            <w:tr w:rsidR="001621E0" w:rsidRPr="009B0CEB" w14:paraId="3D7AE9A7" w14:textId="77777777" w:rsidTr="00F523D7">
              <w:tc>
                <w:tcPr>
                  <w:tcW w:w="2083" w:type="pct"/>
                  <w:shd w:val="clear" w:color="auto" w:fill="auto"/>
                </w:tcPr>
                <w:p w14:paraId="5A181E9A" w14:textId="77777777" w:rsidR="001621E0" w:rsidRPr="009B0CEB" w:rsidRDefault="001621E0" w:rsidP="00F523D7">
                  <w:pPr>
                    <w:framePr w:hSpace="181" w:wrap="around" w:vAnchor="text" w:hAnchor="margin" w:x="7003" w:y="1"/>
                    <w:suppressOverlap/>
                    <w:rPr>
                      <w:rFonts w:ascii="楷体_GB2312" w:eastAsia="楷体_GB2312"/>
                    </w:rPr>
                  </w:pPr>
                  <w:r w:rsidRPr="009B0CEB">
                    <w:rPr>
                      <w:rFonts w:ascii="楷体_GB2312" w:eastAsia="楷体_GB2312" w:hAnsi="楷体" w:hint="eastAsia"/>
                      <w:b/>
                      <w:bCs/>
                      <w:sz w:val="24"/>
                    </w:rPr>
                    <w:t>分析师:</w:t>
                  </w:r>
                </w:p>
              </w:tc>
              <w:tc>
                <w:tcPr>
                  <w:tcW w:w="2917" w:type="pct"/>
                  <w:shd w:val="clear" w:color="auto" w:fill="auto"/>
                </w:tcPr>
                <w:p w14:paraId="6A5AEE75" w14:textId="77777777" w:rsidR="001621E0" w:rsidRPr="009B0CEB" w:rsidRDefault="001621E0" w:rsidP="00F523D7">
                  <w:pPr>
                    <w:framePr w:hSpace="181" w:wrap="around" w:vAnchor="text" w:hAnchor="margin" w:x="7003" w:y="1"/>
                    <w:suppressOverlap/>
                    <w:rPr>
                      <w:rFonts w:ascii="楷体_GB2312" w:eastAsia="楷体_GB2312" w:hAnsi="楷体"/>
                      <w:b/>
                      <w:bCs/>
                      <w:sz w:val="24"/>
                    </w:rPr>
                  </w:pPr>
                  <w:r w:rsidRPr="009B0CEB">
                    <w:rPr>
                      <w:rFonts w:ascii="楷体_GB2312" w:eastAsia="楷体_GB2312" w:hAnsi="楷体" w:hint="eastAsia"/>
                      <w:b/>
                      <w:bCs/>
                      <w:sz w:val="24"/>
                    </w:rPr>
                    <w:t>宫慧菁</w:t>
                  </w:r>
                </w:p>
              </w:tc>
            </w:tr>
            <w:tr w:rsidR="001621E0" w:rsidRPr="009B0CEB" w14:paraId="6CFC9428" w14:textId="77777777" w:rsidTr="00F523D7">
              <w:tc>
                <w:tcPr>
                  <w:tcW w:w="2083" w:type="pct"/>
                  <w:shd w:val="clear" w:color="auto" w:fill="auto"/>
                </w:tcPr>
                <w:p w14:paraId="2F627BC5" w14:textId="77777777" w:rsidR="001621E0" w:rsidRPr="009B0CEB" w:rsidRDefault="001621E0" w:rsidP="00F523D7">
                  <w:pPr>
                    <w:framePr w:hSpace="181" w:wrap="around" w:vAnchor="text" w:hAnchor="margin" w:x="7003" w:y="1"/>
                    <w:suppressOverlap/>
                    <w:rPr>
                      <w:rFonts w:ascii="楷体_GB2312" w:eastAsia="楷体_GB2312"/>
                    </w:rPr>
                  </w:pPr>
                  <w:r w:rsidRPr="009B0CEB">
                    <w:rPr>
                      <w:rFonts w:ascii="楷体_GB2312" w:eastAsia="楷体_GB2312" w:hAnsi="楷体" w:hint="eastAsia"/>
                      <w:sz w:val="18"/>
                      <w:szCs w:val="18"/>
                    </w:rPr>
                    <w:t>执业证书编号：</w:t>
                  </w:r>
                </w:p>
              </w:tc>
              <w:tc>
                <w:tcPr>
                  <w:tcW w:w="2917" w:type="pct"/>
                  <w:shd w:val="clear" w:color="auto" w:fill="auto"/>
                </w:tcPr>
                <w:p w14:paraId="7032EEB5" w14:textId="77777777" w:rsidR="001621E0" w:rsidRPr="009B0CEB" w:rsidRDefault="001621E0" w:rsidP="00F523D7">
                  <w:pPr>
                    <w:framePr w:hSpace="181" w:wrap="around" w:vAnchor="text" w:hAnchor="margin" w:x="7003" w:y="1"/>
                    <w:suppressOverlap/>
                    <w:rPr>
                      <w:rFonts w:ascii="Times New Roman" w:hAnsi="Times New Roman" w:cs="Times New Roman"/>
                    </w:rPr>
                  </w:pPr>
                  <w:r w:rsidRPr="009B0CEB">
                    <w:rPr>
                      <w:rFonts w:ascii="Times New Roman" w:eastAsia="楷体" w:hAnsi="Times New Roman" w:cs="Times New Roman"/>
                      <w:sz w:val="18"/>
                      <w:szCs w:val="18"/>
                    </w:rPr>
                    <w:t>S0270524010001</w:t>
                  </w:r>
                </w:p>
              </w:tc>
            </w:tr>
            <w:tr w:rsidR="001621E0" w:rsidRPr="009B0CEB" w14:paraId="00545649" w14:textId="77777777" w:rsidTr="00F523D7">
              <w:tc>
                <w:tcPr>
                  <w:tcW w:w="2083" w:type="pct"/>
                  <w:shd w:val="clear" w:color="auto" w:fill="auto"/>
                </w:tcPr>
                <w:p w14:paraId="30CCACDB" w14:textId="77777777" w:rsidR="001621E0" w:rsidRPr="009B0CEB" w:rsidRDefault="001621E0" w:rsidP="00F523D7">
                  <w:pPr>
                    <w:framePr w:hSpace="181" w:wrap="around" w:vAnchor="text" w:hAnchor="margin" w:x="7003" w:y="1"/>
                    <w:suppressOverlap/>
                    <w:rPr>
                      <w:rFonts w:ascii="楷体_GB2312" w:eastAsia="楷体_GB2312"/>
                    </w:rPr>
                  </w:pPr>
                  <w:r w:rsidRPr="009B0CEB">
                    <w:rPr>
                      <w:rFonts w:ascii="楷体_GB2312" w:eastAsia="楷体_GB2312" w:hAnsi="楷体" w:hint="eastAsia"/>
                      <w:sz w:val="18"/>
                      <w:szCs w:val="18"/>
                    </w:rPr>
                    <w:t>电话：</w:t>
                  </w:r>
                </w:p>
              </w:tc>
              <w:tc>
                <w:tcPr>
                  <w:tcW w:w="2917" w:type="pct"/>
                  <w:shd w:val="clear" w:color="auto" w:fill="auto"/>
                </w:tcPr>
                <w:p w14:paraId="37101DCF" w14:textId="77777777" w:rsidR="001621E0" w:rsidRPr="009B0CEB" w:rsidRDefault="001621E0" w:rsidP="00F523D7">
                  <w:pPr>
                    <w:framePr w:hSpace="181" w:wrap="around" w:vAnchor="text" w:hAnchor="margin" w:x="7003" w:y="1"/>
                    <w:suppressOverlap/>
                    <w:rPr>
                      <w:rFonts w:ascii="Times New Roman" w:hAnsi="Times New Roman" w:cs="Times New Roman"/>
                    </w:rPr>
                  </w:pPr>
                  <w:r w:rsidRPr="009B0CEB">
                    <w:rPr>
                      <w:rFonts w:ascii="Times New Roman" w:eastAsia="楷体" w:hAnsi="Times New Roman" w:cs="Times New Roman"/>
                      <w:sz w:val="18"/>
                      <w:szCs w:val="18"/>
                    </w:rPr>
                    <w:t>020-32255208</w:t>
                  </w:r>
                </w:p>
              </w:tc>
            </w:tr>
            <w:tr w:rsidR="001621E0" w:rsidRPr="009B0CEB" w14:paraId="73B2E220" w14:textId="77777777" w:rsidTr="00F523D7">
              <w:tc>
                <w:tcPr>
                  <w:tcW w:w="2083" w:type="pct"/>
                  <w:shd w:val="clear" w:color="auto" w:fill="auto"/>
                </w:tcPr>
                <w:p w14:paraId="3E7ED7F5" w14:textId="77777777" w:rsidR="001621E0" w:rsidRPr="009B0CEB" w:rsidRDefault="001621E0" w:rsidP="00F523D7">
                  <w:pPr>
                    <w:framePr w:hSpace="181" w:wrap="around" w:vAnchor="text" w:hAnchor="margin" w:x="7003" w:y="1"/>
                    <w:suppressOverlap/>
                    <w:rPr>
                      <w:rFonts w:ascii="楷体_GB2312" w:eastAsia="楷体_GB2312"/>
                    </w:rPr>
                  </w:pPr>
                  <w:r w:rsidRPr="009B0CEB">
                    <w:rPr>
                      <w:rFonts w:ascii="楷体_GB2312" w:eastAsia="楷体_GB2312" w:hAnsi="楷体" w:hint="eastAsia"/>
                      <w:sz w:val="18"/>
                      <w:szCs w:val="18"/>
                    </w:rPr>
                    <w:t>邮箱：</w:t>
                  </w:r>
                </w:p>
              </w:tc>
              <w:tc>
                <w:tcPr>
                  <w:tcW w:w="2917" w:type="pct"/>
                  <w:shd w:val="clear" w:color="auto" w:fill="auto"/>
                </w:tcPr>
                <w:p w14:paraId="232F96A4" w14:textId="77777777" w:rsidR="001621E0" w:rsidRPr="009B0CEB" w:rsidRDefault="001621E0" w:rsidP="00F523D7">
                  <w:pPr>
                    <w:framePr w:hSpace="181" w:wrap="around" w:vAnchor="text" w:hAnchor="margin" w:x="7003" w:y="1"/>
                    <w:suppressOverlap/>
                    <w:rPr>
                      <w:rFonts w:ascii="Times New Roman" w:hAnsi="Times New Roman" w:cs="Times New Roman"/>
                    </w:rPr>
                  </w:pPr>
                  <w:r w:rsidRPr="009B0CEB">
                    <w:rPr>
                      <w:rFonts w:ascii="Times New Roman" w:eastAsia="楷体" w:hAnsi="Times New Roman" w:cs="Times New Roman"/>
                      <w:sz w:val="18"/>
                      <w:szCs w:val="18"/>
                    </w:rPr>
                    <w:t>gonghj@wlzq.com.cn</w:t>
                  </w:r>
                </w:p>
              </w:tc>
            </w:tr>
            <w:bookmarkEnd w:id="6"/>
          </w:tbl>
          <w:p w14:paraId="7CDBCC50" w14:textId="77777777" w:rsidR="003B0AB9" w:rsidRPr="00CC551C" w:rsidRDefault="003B0AB9" w:rsidP="001621E0">
            <w:pPr>
              <w:adjustRightInd w:val="0"/>
              <w:snapToGrid w:val="0"/>
              <w:spacing w:line="20" w:lineRule="exact"/>
            </w:pPr>
          </w:p>
        </w:tc>
      </w:tr>
      <w:tr w:rsidR="003B0AB9" w14:paraId="59A74B4D" w14:textId="77777777" w:rsidTr="007553F6">
        <w:trPr>
          <w:trHeight w:hRule="exact" w:val="7371"/>
        </w:trPr>
        <w:tc>
          <w:tcPr>
            <w:tcW w:w="3402" w:type="dxa"/>
            <w:shd w:val="clear" w:color="auto" w:fill="E7E6E6" w:themeFill="background2"/>
          </w:tcPr>
          <w:tbl>
            <w:tblPr>
              <w:tblW w:w="3402" w:type="dxa"/>
              <w:tblLayout w:type="fixed"/>
              <w:tblCellMar>
                <w:left w:w="10" w:type="dxa"/>
                <w:right w:w="10" w:type="dxa"/>
              </w:tblCellMar>
              <w:tblLook w:val="04A0" w:firstRow="1" w:lastRow="0" w:firstColumn="1" w:lastColumn="0" w:noHBand="0" w:noVBand="1"/>
            </w:tblPr>
            <w:tblGrid>
              <w:gridCol w:w="3402"/>
            </w:tblGrid>
            <w:tr w:rsidR="001621E0" w14:paraId="442EA42A" w14:textId="77777777" w:rsidTr="00864AE7">
              <w:trPr>
                <w:cantSplit/>
                <w:trHeight w:hRule="exact" w:val="23"/>
              </w:trPr>
              <w:tc>
                <w:tcPr>
                  <w:tcW w:w="3402" w:type="dxa"/>
                </w:tcPr>
                <w:p w14:paraId="2E2B0A15" w14:textId="77777777" w:rsidR="001621E0" w:rsidRPr="00740013" w:rsidRDefault="001621E0" w:rsidP="00864AE7">
                  <w:pPr>
                    <w:framePr w:hSpace="181" w:wrap="around" w:vAnchor="text" w:hAnchor="margin" w:x="7003" w:y="1"/>
                    <w:suppressOverlap/>
                    <w:rPr>
                      <w:rFonts w:ascii="Times New Roman" w:hAnsi="Times New Roman" w:cs="Times New Roman"/>
                    </w:rPr>
                  </w:pPr>
                  <w:r w:rsidRPr="00740013">
                    <w:rPr>
                      <w:rFonts w:ascii="Times New Roman" w:hAnsi="Times New Roman" w:cs="Times New Roman"/>
                      <w:color w:val="FFFFFF" w:themeColor="background1"/>
                    </w:rPr>
                    <w:t>[</w:t>
                  </w:r>
                  <w:proofErr w:type="spellStart"/>
                  <w:r w:rsidRPr="00740013">
                    <w:rPr>
                      <w:rFonts w:ascii="Times New Roman" w:hAnsi="Times New Roman" w:cs="Times New Roman"/>
                      <w:color w:val="FFFFFF" w:themeColor="background1"/>
                    </w:rPr>
                    <w:t>Table_ReportList</w:t>
                  </w:r>
                  <w:proofErr w:type="spellEnd"/>
                  <w:r w:rsidRPr="00740013">
                    <w:rPr>
                      <w:rFonts w:ascii="Times New Roman" w:hAnsi="Times New Roman" w:cs="Times New Roman"/>
                      <w:color w:val="FFFFFF" w:themeColor="background1"/>
                    </w:rPr>
                    <w:t>]</w:t>
                  </w:r>
                </w:p>
              </w:tc>
            </w:tr>
            <w:tr w:rsidR="001621E0" w14:paraId="1E15D029" w14:textId="77777777" w:rsidTr="00864AE7">
              <w:tc>
                <w:tcPr>
                  <w:tcW w:w="3402" w:type="dxa"/>
                </w:tcPr>
                <w:p w14:paraId="4C5CC59C" w14:textId="77777777" w:rsidR="001621E0" w:rsidRPr="009B0CEB" w:rsidRDefault="001621E0" w:rsidP="00864AE7">
                  <w:pPr>
                    <w:framePr w:hSpace="181" w:wrap="around" w:vAnchor="text" w:hAnchor="margin" w:x="7003" w:y="1"/>
                    <w:suppressOverlap/>
                    <w:rPr>
                      <w:rFonts w:ascii="楷体_GB2312" w:eastAsia="楷体_GB2312"/>
                    </w:rPr>
                  </w:pPr>
                  <w:r w:rsidRPr="009B0CEB">
                    <w:rPr>
                      <w:rFonts w:ascii="楷体_GB2312" w:eastAsia="楷体_GB2312" w:hAnsi="楷体" w:hint="eastAsia"/>
                      <w:b/>
                      <w:color w:val="000000"/>
                      <w:sz w:val="24"/>
                    </w:rPr>
                    <w:t>相关研究</w:t>
                  </w:r>
                </w:p>
              </w:tc>
            </w:tr>
            <w:tr w:rsidR="001621E0" w14:paraId="26FBB2F4" w14:textId="77777777" w:rsidTr="00864AE7">
              <w:tc>
                <w:tcPr>
                  <w:tcW w:w="3402" w:type="dxa"/>
                </w:tcPr>
                <w:p w14:paraId="45DF6A3E" w14:textId="77777777" w:rsidR="001621E0" w:rsidRPr="009B0CEB" w:rsidRDefault="001621E0" w:rsidP="00864AE7">
                  <w:pPr>
                    <w:framePr w:hSpace="181" w:wrap="around" w:vAnchor="text" w:hAnchor="margin" w:x="7003" w:y="1"/>
                    <w:suppressOverlap/>
                    <w:rPr>
                      <w:rFonts w:ascii="楷体_GB2312" w:eastAsia="楷体_GB2312"/>
                    </w:rPr>
                  </w:pPr>
                  <w:r w:rsidRPr="009B0CEB">
                    <w:rPr>
                      <w:rFonts w:ascii="楷体_GB2312" w:eastAsia="楷体_GB2312" w:hAnsi="楷体" w:hint="eastAsia"/>
                      <w:sz w:val="18"/>
                      <w:szCs w:val="18"/>
                    </w:rPr>
                    <w:t>中下游行业盈利能力回升，行业景气度有望改善</w:t>
                  </w:r>
                </w:p>
              </w:tc>
            </w:tr>
            <w:tr w:rsidR="001621E0" w14:paraId="09D55287" w14:textId="77777777" w:rsidTr="00864AE7">
              <w:tc>
                <w:tcPr>
                  <w:tcW w:w="3402" w:type="dxa"/>
                </w:tcPr>
                <w:p w14:paraId="210CF9BC" w14:textId="77777777" w:rsidR="001621E0" w:rsidRPr="009B0CEB" w:rsidRDefault="001621E0" w:rsidP="00864AE7">
                  <w:pPr>
                    <w:framePr w:hSpace="181" w:wrap="around" w:vAnchor="text" w:hAnchor="margin" w:x="7003" w:y="1"/>
                    <w:suppressOverlap/>
                    <w:rPr>
                      <w:rFonts w:ascii="楷体_GB2312" w:eastAsia="楷体_GB2312" w:hAnsi="楷体"/>
                      <w:sz w:val="18"/>
                      <w:szCs w:val="18"/>
                    </w:rPr>
                  </w:pPr>
                  <w:r w:rsidRPr="009B0CEB">
                    <w:rPr>
                      <w:rFonts w:ascii="楷体_GB2312" w:eastAsia="楷体_GB2312" w:hAnsi="楷体" w:hint="eastAsia"/>
                      <w:sz w:val="18"/>
                      <w:szCs w:val="18"/>
                    </w:rPr>
                    <w:t>A股上游</w:t>
                  </w:r>
                  <w:proofErr w:type="gramStart"/>
                  <w:r w:rsidRPr="009B0CEB">
                    <w:rPr>
                      <w:rFonts w:ascii="楷体_GB2312" w:eastAsia="楷体_GB2312" w:hAnsi="楷体" w:hint="eastAsia"/>
                      <w:sz w:val="18"/>
                      <w:szCs w:val="18"/>
                    </w:rPr>
                    <w:t>行业涨幅</w:t>
                  </w:r>
                  <w:proofErr w:type="gramEnd"/>
                  <w:r w:rsidRPr="009B0CEB">
                    <w:rPr>
                      <w:rFonts w:ascii="楷体_GB2312" w:eastAsia="楷体_GB2312" w:hAnsi="楷体" w:hint="eastAsia"/>
                      <w:sz w:val="18"/>
                      <w:szCs w:val="18"/>
                    </w:rPr>
                    <w:t>靠前</w:t>
                  </w:r>
                </w:p>
              </w:tc>
            </w:tr>
            <w:tr w:rsidR="001621E0" w14:paraId="3F63E19D" w14:textId="77777777" w:rsidTr="00864AE7">
              <w:tc>
                <w:tcPr>
                  <w:tcW w:w="3402" w:type="dxa"/>
                </w:tcPr>
                <w:p w14:paraId="57CBC57B" w14:textId="77777777" w:rsidR="001621E0" w:rsidRPr="009B0CEB" w:rsidRDefault="001621E0" w:rsidP="00864AE7">
                  <w:pPr>
                    <w:framePr w:hSpace="181" w:wrap="around" w:vAnchor="text" w:hAnchor="margin" w:x="7003" w:y="1"/>
                    <w:suppressOverlap/>
                    <w:rPr>
                      <w:rFonts w:ascii="楷体_GB2312" w:eastAsia="楷体_GB2312" w:hAnsi="楷体"/>
                      <w:sz w:val="18"/>
                      <w:szCs w:val="18"/>
                    </w:rPr>
                  </w:pPr>
                  <w:r w:rsidRPr="009B0CEB">
                    <w:rPr>
                      <w:rFonts w:ascii="楷体_GB2312" w:eastAsia="楷体_GB2312" w:hAnsi="楷体" w:hint="eastAsia"/>
                      <w:sz w:val="18"/>
                      <w:szCs w:val="18"/>
                    </w:rPr>
                    <w:t>大规模设备更新以及消费品以旧换新将释放需求潜力</w:t>
                  </w:r>
                </w:p>
              </w:tc>
            </w:tr>
          </w:tbl>
          <w:p w14:paraId="246534CC" w14:textId="77777777" w:rsidR="003B0AB9" w:rsidRPr="006F1E66" w:rsidRDefault="003B0AB9" w:rsidP="001621E0">
            <w:pPr>
              <w:spacing w:line="20" w:lineRule="exact"/>
              <w:rPr>
                <w:rFonts w:ascii="Times New Roman" w:hAnsi="Times New Roman" w:cs="Times New Roman"/>
                <w:color w:val="FFFFFF" w:themeColor="background1"/>
              </w:rPr>
            </w:pPr>
          </w:p>
        </w:tc>
      </w:tr>
    </w:tbl>
    <w:bookmarkEnd w:id="7" w:displacedByCustomXml="next"/>
    <w:sdt>
      <w:sdtPr>
        <w:id w:val="901260796"/>
        <w:placeholder>
          <w:docPart w:val="C083BD5C8B064472BDB7AC31A206B70A"/>
        </w:placeholder>
      </w:sdtPr>
      <w:sdtContent>
        <w:p w14:paraId="0200B6F9" w14:textId="77777777" w:rsidR="003B0AB9" w:rsidRDefault="003B0AB9" w:rsidP="003B0AB9">
          <w:pPr>
            <w:spacing w:line="14" w:lineRule="exact"/>
            <w:ind w:leftChars="50" w:left="105" w:rightChars="411" w:right="863"/>
            <w:jc w:val="left"/>
          </w:pPr>
        </w:p>
        <w:tbl>
          <w:tblPr>
            <w:tblStyle w:val="ad"/>
            <w:tblW w:w="6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tblGrid>
          <w:tr w:rsidR="003B0AB9" w14:paraId="49B536C7" w14:textId="77777777" w:rsidTr="007553F6">
            <w:trPr>
              <w:trHeight w:hRule="exact" w:val="23"/>
            </w:trPr>
            <w:tc>
              <w:tcPr>
                <w:tcW w:w="6379" w:type="dxa"/>
              </w:tcPr>
              <w:p w14:paraId="70781471" w14:textId="77777777" w:rsidR="003B0AB9" w:rsidRDefault="003B0AB9" w:rsidP="007553F6">
                <w:pPr>
                  <w:ind w:rightChars="411" w:right="863"/>
                  <w:jc w:val="left"/>
                </w:pPr>
                <w:r>
                  <w:rPr>
                    <w:rFonts w:hint="eastAsia"/>
                  </w:rPr>
                  <w:t>[</w:t>
                </w:r>
                <w:proofErr w:type="spellStart"/>
                <w:r>
                  <w:t>Table_Summary</w:t>
                </w:r>
                <w:proofErr w:type="spellEnd"/>
                <w:r>
                  <w:t>]</w:t>
                </w:r>
              </w:p>
            </w:tc>
          </w:tr>
          <w:tr w:rsidR="003B0AB9" w14:paraId="15239D1C" w14:textId="77777777" w:rsidTr="007553F6">
            <w:tc>
              <w:tcPr>
                <w:tcW w:w="6623" w:type="dxa"/>
              </w:tcPr>
              <w:p w14:paraId="48034749" w14:textId="77777777" w:rsidR="003B0AB9" w:rsidRPr="003937C6" w:rsidRDefault="003B0AB9" w:rsidP="007553F6">
                <w:pPr>
                  <w:ind w:rightChars="411" w:right="863"/>
                  <w:jc w:val="left"/>
                  <w:rPr>
                    <w:rFonts w:ascii="楷体_GB2312" w:eastAsia="楷体_GB2312" w:hAnsi="楷体"/>
                    <w:b/>
                    <w:color w:val="000000"/>
                    <w:sz w:val="24"/>
                  </w:rPr>
                </w:pPr>
                <w:r w:rsidRPr="003937C6">
                  <w:rPr>
                    <w:rFonts w:ascii="楷体_GB2312" w:eastAsia="楷体_GB2312" w:hAnsi="楷体" w:hint="eastAsia"/>
                    <w:b/>
                    <w:color w:val="000000"/>
                    <w:sz w:val="24"/>
                  </w:rPr>
                  <w:t>投资要点：</w:t>
                </w:r>
              </w:p>
              <w:p w14:paraId="07F59AF1" w14:textId="4E4B0169" w:rsidR="00235FC9" w:rsidRPr="00034FD6" w:rsidRDefault="004F534C" w:rsidP="00BC327F">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sidRPr="004F534C">
                  <w:rPr>
                    <w:rFonts w:ascii="楷体_GB2312" w:eastAsia="楷体_GB2312" w:hAnsi="楷体" w:hint="eastAsia"/>
                    <w:b/>
                    <w:kern w:val="0"/>
                  </w:rPr>
                  <w:t>国务院时隔十年再次出台资本市场指导性文件</w:t>
                </w:r>
                <w:r w:rsidR="00235FC9">
                  <w:rPr>
                    <w:rFonts w:ascii="楷体_GB2312" w:eastAsia="楷体_GB2312" w:hAnsi="楷体" w:hint="eastAsia"/>
                    <w:b/>
                    <w:kern w:val="0"/>
                  </w:rPr>
                  <w:t>：</w:t>
                </w:r>
                <w:r w:rsidRPr="004F534C">
                  <w:rPr>
                    <w:rFonts w:ascii="楷体_GB2312" w:eastAsia="楷体_GB2312" w:hAnsi="楷体" w:hint="eastAsia"/>
                    <w:bCs/>
                    <w:kern w:val="0"/>
                  </w:rPr>
                  <w:t>日前国务院印发《关于加强监管防范风险推动资本市场高质量发展的若干意见》。此次意见是继2004年、2014年两个“国九条”之后，时隔10年国务院再次出台的资本市场指导性文件。这次出台的意见共9个部分。</w:t>
                </w:r>
                <w:r>
                  <w:rPr>
                    <w:rFonts w:ascii="楷体_GB2312" w:eastAsia="楷体_GB2312" w:hAnsi="楷体" w:hint="eastAsia"/>
                    <w:bCs/>
                    <w:kern w:val="0"/>
                  </w:rPr>
                  <w:t>4月</w:t>
                </w:r>
                <w:r w:rsidRPr="004F534C">
                  <w:rPr>
                    <w:rFonts w:ascii="楷体_GB2312" w:eastAsia="楷体_GB2312" w:hAnsi="楷体" w:hint="eastAsia"/>
                    <w:bCs/>
                    <w:kern w:val="0"/>
                  </w:rPr>
                  <w:t>12日证监会主席吴清就贯彻落实该意见接受记者专访。</w:t>
                </w:r>
                <w:bookmarkStart w:id="8" w:name="_Hlk163894996"/>
                <w:r w:rsidR="009D37AD">
                  <w:rPr>
                    <w:rFonts w:ascii="楷体_GB2312" w:eastAsia="楷体_GB2312" w:hAnsi="楷体" w:hint="eastAsia"/>
                    <w:bCs/>
                    <w:kern w:val="0"/>
                  </w:rPr>
                  <w:t>证监会及沪深交易所同步发布</w:t>
                </w:r>
                <w:r w:rsidR="009D37AD" w:rsidRPr="009D37AD">
                  <w:rPr>
                    <w:rFonts w:ascii="楷体_GB2312" w:eastAsia="楷体_GB2312" w:hAnsi="楷体" w:hint="eastAsia"/>
                    <w:bCs/>
                    <w:kern w:val="0"/>
                  </w:rPr>
                  <w:t>若干配套制度规则</w:t>
                </w:r>
                <w:r w:rsidR="009D37AD">
                  <w:rPr>
                    <w:rFonts w:ascii="楷体_GB2312" w:eastAsia="楷体_GB2312" w:hAnsi="楷体" w:hint="eastAsia"/>
                    <w:bCs/>
                    <w:kern w:val="0"/>
                  </w:rPr>
                  <w:t>公开征求意见。</w:t>
                </w:r>
                <w:bookmarkEnd w:id="8"/>
              </w:p>
              <w:p w14:paraId="16ACFF8E" w14:textId="5D149133" w:rsidR="00034FD6" w:rsidRPr="006E215E" w:rsidRDefault="00034FD6" w:rsidP="00034FD6">
                <w:pPr>
                  <w:numPr>
                    <w:ilvl w:val="0"/>
                    <w:numId w:val="1"/>
                  </w:numPr>
                  <w:tabs>
                    <w:tab w:val="left" w:pos="598"/>
                    <w:tab w:val="left" w:pos="6192"/>
                  </w:tabs>
                  <w:spacing w:beforeLines="50" w:before="156" w:afterLines="50" w:after="156"/>
                  <w:ind w:rightChars="240" w:right="504"/>
                  <w:rPr>
                    <w:rFonts w:ascii="楷体_GB2312" w:eastAsia="楷体_GB2312" w:hAnsi="楷体"/>
                    <w:bCs/>
                    <w:kern w:val="0"/>
                  </w:rPr>
                </w:pPr>
                <w:r>
                  <w:rPr>
                    <w:rFonts w:ascii="楷体_GB2312" w:eastAsia="楷体_GB2312" w:hAnsi="楷体" w:hint="eastAsia"/>
                    <w:b/>
                    <w:kern w:val="0"/>
                  </w:rPr>
                  <w:t>新“国九条”有三大特点：</w:t>
                </w:r>
                <w:r w:rsidR="008F3E19" w:rsidRPr="008F3E19">
                  <w:rPr>
                    <w:rFonts w:ascii="楷体_GB2312" w:eastAsia="楷体_GB2312" w:hAnsi="楷体" w:hint="eastAsia"/>
                    <w:bCs/>
                    <w:kern w:val="0"/>
                  </w:rPr>
                  <w:t>证监会</w:t>
                </w:r>
                <w:r w:rsidRPr="00AF1EBF">
                  <w:rPr>
                    <w:rFonts w:ascii="楷体_GB2312" w:eastAsia="楷体_GB2312" w:hAnsi="楷体" w:hint="eastAsia"/>
                    <w:bCs/>
                    <w:kern w:val="0"/>
                  </w:rPr>
                  <w:t>主席</w:t>
                </w:r>
                <w:r w:rsidR="008F3E19" w:rsidRPr="00AF1EBF">
                  <w:rPr>
                    <w:rFonts w:ascii="楷体_GB2312" w:eastAsia="楷体_GB2312" w:hAnsi="楷体" w:hint="eastAsia"/>
                    <w:bCs/>
                    <w:kern w:val="0"/>
                  </w:rPr>
                  <w:t>吴清</w:t>
                </w:r>
                <w:r w:rsidRPr="00AF1EBF">
                  <w:rPr>
                    <w:rFonts w:ascii="楷体_GB2312" w:eastAsia="楷体_GB2312" w:hAnsi="楷体" w:hint="eastAsia"/>
                    <w:bCs/>
                    <w:kern w:val="0"/>
                  </w:rPr>
                  <w:t>表示，此次“国九条”的发</w:t>
                </w:r>
                <w:r>
                  <w:rPr>
                    <w:rFonts w:ascii="楷体_GB2312" w:eastAsia="楷体_GB2312" w:hAnsi="楷体" w:hint="eastAsia"/>
                    <w:bCs/>
                    <w:kern w:val="0"/>
                  </w:rPr>
                  <w:t>布</w:t>
                </w:r>
                <w:r w:rsidRPr="00AF1EBF">
                  <w:rPr>
                    <w:rFonts w:ascii="楷体_GB2312" w:eastAsia="楷体_GB2312" w:hAnsi="楷体" w:hint="eastAsia"/>
                    <w:bCs/>
                    <w:kern w:val="0"/>
                  </w:rPr>
                  <w:t>充分体现了党中央、国务院对资本市场的高度重视和殷切期望。</w:t>
                </w:r>
                <w:r w:rsidRPr="006E215E">
                  <w:rPr>
                    <w:rFonts w:ascii="楷体_GB2312" w:eastAsia="楷体_GB2312" w:hAnsi="楷体" w:hint="eastAsia"/>
                    <w:bCs/>
                    <w:kern w:val="0"/>
                  </w:rPr>
                  <w:t>与前两个“国九条”相比，本次出台的意见</w:t>
                </w:r>
                <w:r>
                  <w:rPr>
                    <w:rFonts w:ascii="楷体_GB2312" w:eastAsia="楷体_GB2312" w:hAnsi="楷体" w:hint="eastAsia"/>
                    <w:bCs/>
                    <w:kern w:val="0"/>
                  </w:rPr>
                  <w:t>主要</w:t>
                </w:r>
                <w:r w:rsidRPr="006E215E">
                  <w:rPr>
                    <w:rFonts w:ascii="楷体_GB2312" w:eastAsia="楷体_GB2312" w:hAnsi="楷体" w:hint="eastAsia"/>
                    <w:bCs/>
                    <w:kern w:val="0"/>
                  </w:rPr>
                  <w:t>特点：</w:t>
                </w:r>
                <w:r w:rsidRPr="00034FD6">
                  <w:rPr>
                    <w:rFonts w:ascii="楷体_GB2312" w:eastAsia="楷体_GB2312" w:hAnsi="楷体" w:hint="eastAsia"/>
                    <w:bCs/>
                    <w:kern w:val="0"/>
                  </w:rPr>
                  <w:t>（1）保护中小投资者合法权益。（2）强化资本市场强监管政策基调。（3）加快推动制度完善及机制改革</w:t>
                </w:r>
                <w:r w:rsidRPr="006E215E">
                  <w:rPr>
                    <w:rFonts w:ascii="楷体_GB2312" w:eastAsia="楷体_GB2312" w:hAnsi="楷体" w:hint="eastAsia"/>
                    <w:bCs/>
                    <w:kern w:val="0"/>
                  </w:rPr>
                  <w:t>。</w:t>
                </w:r>
              </w:p>
              <w:p w14:paraId="7EFABE67" w14:textId="77777777" w:rsidR="00572300" w:rsidRPr="00572300" w:rsidRDefault="00572300" w:rsidP="00572300">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sidRPr="00572300">
                  <w:rPr>
                    <w:rFonts w:ascii="楷体_GB2312" w:eastAsia="楷体_GB2312" w:hAnsi="楷体" w:hint="eastAsia"/>
                    <w:b/>
                  </w:rPr>
                  <w:t>总体要求为我国长期资本市场发展描绘蓝图：</w:t>
                </w:r>
                <w:r w:rsidRPr="00572300">
                  <w:rPr>
                    <w:rFonts w:ascii="楷体_GB2312" w:eastAsia="楷体_GB2312" w:hAnsi="楷体" w:hint="eastAsia"/>
                    <w:bCs/>
                  </w:rPr>
                  <w:t>此次意见中第一部分总体要求中提及“五个必须”，体现出监管的目标导向，既是资本市场高质量发展的内在要求，也是资本市场稳定健康发展的实践路径。此外，意见提出了对我国资本市场“未来5年”、“到2035年”、“到本世纪中叶”的发展目标，为资本市场长期发展设定了清晰的路线图。</w:t>
                </w:r>
              </w:p>
              <w:p w14:paraId="74676B0E" w14:textId="7712EA57" w:rsidR="00572300" w:rsidRPr="00572300" w:rsidRDefault="00572300" w:rsidP="00572300">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Pr>
                    <w:rFonts w:ascii="楷体_GB2312" w:eastAsia="楷体_GB2312" w:hAnsi="楷体" w:hint="eastAsia"/>
                    <w:b/>
                  </w:rPr>
                  <w:t>企业</w:t>
                </w:r>
                <w:r w:rsidRPr="00572300">
                  <w:rPr>
                    <w:rFonts w:ascii="楷体_GB2312" w:eastAsia="楷体_GB2312" w:hAnsi="楷体" w:hint="eastAsia"/>
                    <w:b/>
                  </w:rPr>
                  <w:t>“发行上市-日常监管-退市”全链条监管从严：</w:t>
                </w:r>
                <w:r w:rsidRPr="00572300">
                  <w:rPr>
                    <w:rFonts w:ascii="楷体_GB2312" w:eastAsia="楷体_GB2312" w:hAnsi="楷体" w:hint="eastAsia"/>
                    <w:bCs/>
                  </w:rPr>
                  <w:t>在上市准入方面，意见明确重申一是进一步完善发行上市制度，二是是强化发行上市全链条责任，三是加大发行承销监管力度。</w:t>
                </w:r>
                <w:r w:rsidR="00641687" w:rsidRPr="003E0497">
                  <w:rPr>
                    <w:rFonts w:ascii="楷体_GB2312" w:eastAsia="楷体_GB2312" w:hAnsi="楷体" w:hint="eastAsia"/>
                    <w:b/>
                    <w:kern w:val="0"/>
                  </w:rPr>
                  <w:t>总体看，意见及证监会配套文件提出提高主板、创业板上市标准，</w:t>
                </w:r>
                <w:proofErr w:type="gramStart"/>
                <w:r w:rsidR="00641687" w:rsidRPr="003E0497">
                  <w:rPr>
                    <w:rFonts w:ascii="楷体_GB2312" w:eastAsia="楷体_GB2312" w:hAnsi="楷体" w:hint="eastAsia"/>
                    <w:b/>
                    <w:kern w:val="0"/>
                  </w:rPr>
                  <w:t>完善科创板科创</w:t>
                </w:r>
                <w:proofErr w:type="gramEnd"/>
                <w:r w:rsidR="00641687" w:rsidRPr="003E0497">
                  <w:rPr>
                    <w:rFonts w:ascii="楷体_GB2312" w:eastAsia="楷体_GB2312" w:hAnsi="楷体" w:hint="eastAsia"/>
                    <w:b/>
                    <w:kern w:val="0"/>
                  </w:rPr>
                  <w:t>属性评价标准。同时，强调扩大现场检查覆盖面，大幅提高首发企业随机抽取检查的比例，严格再融资审核把关等。将进一步压实发行人第一责任和中介机构“看门人”责任。对欺诈发行、</w:t>
                </w:r>
                <w:proofErr w:type="gramStart"/>
                <w:r w:rsidR="00641687" w:rsidRPr="003E0497">
                  <w:rPr>
                    <w:rFonts w:ascii="楷体_GB2312" w:eastAsia="楷体_GB2312" w:hAnsi="楷体" w:hint="eastAsia"/>
                    <w:b/>
                    <w:kern w:val="0"/>
                  </w:rPr>
                  <w:t>高价超募</w:t>
                </w:r>
                <w:proofErr w:type="gramEnd"/>
                <w:r w:rsidR="00641687" w:rsidRPr="003E0497">
                  <w:rPr>
                    <w:rFonts w:ascii="楷体_GB2312" w:eastAsia="楷体_GB2312" w:hAnsi="楷体" w:hint="eastAsia"/>
                    <w:b/>
                    <w:kern w:val="0"/>
                  </w:rPr>
                  <w:t>、抱团压价等违法问题及市场乱象释放更为明确的严监管信号。预计A股发行上市制度将更加完善、更趋精细化，加强对发行上市环节的约束与引导。</w:t>
                </w:r>
              </w:p>
              <w:p w14:paraId="3E82EFBF" w14:textId="3244BEFD" w:rsidR="00572300" w:rsidRPr="00572300" w:rsidRDefault="00572300" w:rsidP="00572300">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sidRPr="00641687">
                  <w:rPr>
                    <w:rFonts w:ascii="楷体_GB2312" w:eastAsia="楷体_GB2312" w:hAnsi="楷体" w:hint="eastAsia"/>
                    <w:b/>
                  </w:rPr>
                  <w:t>上市公司日常监管</w:t>
                </w:r>
                <w:r w:rsidR="00641687">
                  <w:rPr>
                    <w:rFonts w:ascii="楷体_GB2312" w:eastAsia="楷体_GB2312" w:hAnsi="楷体" w:hint="eastAsia"/>
                    <w:b/>
                  </w:rPr>
                  <w:t>更为严格、更加细化</w:t>
                </w:r>
                <w:r w:rsidR="00641687" w:rsidRPr="00641687">
                  <w:rPr>
                    <w:rFonts w:ascii="楷体_GB2312" w:eastAsia="楷体_GB2312" w:hAnsi="楷体" w:hint="eastAsia"/>
                    <w:b/>
                  </w:rPr>
                  <w:t>：</w:t>
                </w:r>
                <w:r w:rsidRPr="00572300">
                  <w:rPr>
                    <w:rFonts w:ascii="楷体_GB2312" w:eastAsia="楷体_GB2312" w:hAnsi="楷体" w:hint="eastAsia"/>
                    <w:bCs/>
                  </w:rPr>
                  <w:t>针对减持、分红、市值管理等市场关注热点，意见分别提出要求。其中，对于减持，意见明确出台上市公司减持管理办法，对不同类型股东分类施策，坚决防范各类绕道减持。</w:t>
                </w:r>
                <w:r w:rsidR="00811B24" w:rsidRPr="00811B24">
                  <w:rPr>
                    <w:rFonts w:ascii="楷体_GB2312" w:eastAsia="楷体_GB2312" w:hAnsi="楷体" w:hint="eastAsia"/>
                    <w:bCs/>
                  </w:rPr>
                  <w:t>沪深交所修订拟对主板、创业板、</w:t>
                </w:r>
                <w:proofErr w:type="gramStart"/>
                <w:r w:rsidR="00811B24" w:rsidRPr="00811B24">
                  <w:rPr>
                    <w:rFonts w:ascii="楷体_GB2312" w:eastAsia="楷体_GB2312" w:hAnsi="楷体" w:hint="eastAsia"/>
                    <w:bCs/>
                  </w:rPr>
                  <w:t>科创板</w:t>
                </w:r>
                <w:proofErr w:type="gramEnd"/>
                <w:r w:rsidR="00811B24" w:rsidRPr="00811B24">
                  <w:rPr>
                    <w:rFonts w:ascii="楷体_GB2312" w:eastAsia="楷体_GB2312" w:hAnsi="楷体" w:hint="eastAsia"/>
                    <w:bCs/>
                  </w:rPr>
                  <w:t>《股票上市规则》中有关分红的规定做出重点安排。针对不分红、分红不达标等行为，将采取</w:t>
                </w:r>
                <w:r w:rsidR="00811B24" w:rsidRPr="00811B24">
                  <w:rPr>
                    <w:rFonts w:ascii="楷体_GB2312" w:eastAsia="楷体_GB2312" w:hAnsi="楷体" w:hint="eastAsia"/>
                    <w:bCs/>
                  </w:rPr>
                  <w:lastRenderedPageBreak/>
                  <w:t>强约束措施，并积极推动上市公司一年多次分红。多年不分红或者分红比例偏低的公司纳入ST情形。</w:t>
                </w:r>
                <w:r w:rsidRPr="00572300">
                  <w:rPr>
                    <w:rFonts w:ascii="楷体_GB2312" w:eastAsia="楷体_GB2312" w:hAnsi="楷体" w:hint="eastAsia"/>
                    <w:bCs/>
                  </w:rPr>
                  <w:t>此外，意见提出制定上市公司市值管理指引。研究将上市公司市值管理纳入企业内外部考核评价体系。同时依法从严打击以市值管理为名的操纵市场、内幕交易等违法违规行为。</w:t>
                </w:r>
              </w:p>
              <w:p w14:paraId="57B2E619" w14:textId="5DA6ED72" w:rsidR="00EA77FC" w:rsidRPr="00811B24" w:rsidRDefault="00572300" w:rsidP="00811B24">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sidRPr="00572300">
                  <w:rPr>
                    <w:rFonts w:ascii="楷体_GB2312" w:eastAsia="楷体_GB2312" w:hAnsi="楷体" w:hint="eastAsia"/>
                    <w:bCs/>
                  </w:rPr>
                  <w:t>退市监管方面，意见提出四个方面要求：（1）进一步严格强制退市标准。要求健全不同板块差异化的退市标准体系。证监会发布《关于严格执行退市制度的意见》。（2）进一步畅通多元退市渠道。（3）进一步削减“壳”资源价值。（4）进一步强化退市监管。意见明确</w:t>
                </w:r>
                <w:proofErr w:type="gramStart"/>
                <w:r w:rsidRPr="00572300">
                  <w:rPr>
                    <w:rFonts w:ascii="楷体_GB2312" w:eastAsia="楷体_GB2312" w:hAnsi="楷体" w:hint="eastAsia"/>
                    <w:bCs/>
                  </w:rPr>
                  <w:t>健全退</w:t>
                </w:r>
                <w:proofErr w:type="gramEnd"/>
                <w:r w:rsidRPr="00572300">
                  <w:rPr>
                    <w:rFonts w:ascii="楷体_GB2312" w:eastAsia="楷体_GB2312" w:hAnsi="楷体" w:hint="eastAsia"/>
                    <w:bCs/>
                  </w:rPr>
                  <w:t>市过程中的投资者赔偿救济机制，对重大违法退市负有责任的控股股东、实际控制人、董事、高管等要依法赔偿投资者损失。</w:t>
                </w:r>
                <w:r w:rsidR="00EA77FC" w:rsidRPr="00811B24">
                  <w:rPr>
                    <w:rFonts w:ascii="楷体_GB2312" w:eastAsia="楷体_GB2312" w:hAnsi="楷体" w:hint="eastAsia"/>
                    <w:b/>
                  </w:rPr>
                  <w:t>新“国九条”意见明确</w:t>
                </w:r>
                <w:proofErr w:type="gramStart"/>
                <w:r w:rsidR="00EA77FC" w:rsidRPr="00811B24">
                  <w:rPr>
                    <w:rFonts w:ascii="楷体_GB2312" w:eastAsia="楷体_GB2312" w:hAnsi="楷体" w:hint="eastAsia"/>
                    <w:b/>
                  </w:rPr>
                  <w:t>健全退</w:t>
                </w:r>
                <w:proofErr w:type="gramEnd"/>
                <w:r w:rsidR="00EA77FC" w:rsidRPr="00811B24">
                  <w:rPr>
                    <w:rFonts w:ascii="楷体_GB2312" w:eastAsia="楷体_GB2312" w:hAnsi="楷体" w:hint="eastAsia"/>
                    <w:b/>
                  </w:rPr>
                  <w:t>市过程中的投资者赔偿救济机制，对重大违法退市负有责任的控股股东、实际控制人、董事、高管等要依法赔偿投资者损失。预计证监会将继续</w:t>
                </w:r>
                <w:proofErr w:type="gramStart"/>
                <w:r w:rsidR="00EA77FC" w:rsidRPr="00811B24">
                  <w:rPr>
                    <w:rFonts w:ascii="楷体_GB2312" w:eastAsia="楷体_GB2312" w:hAnsi="楷体" w:hint="eastAsia"/>
                    <w:b/>
                  </w:rPr>
                  <w:t>畅通退</w:t>
                </w:r>
                <w:proofErr w:type="gramEnd"/>
                <w:r w:rsidR="00EA77FC" w:rsidRPr="00811B24">
                  <w:rPr>
                    <w:rFonts w:ascii="楷体_GB2312" w:eastAsia="楷体_GB2312" w:hAnsi="楷体" w:hint="eastAsia"/>
                    <w:b/>
                  </w:rPr>
                  <w:t>市出清机制，推动“</w:t>
                </w:r>
                <w:r w:rsidR="00AC1ECE">
                  <w:rPr>
                    <w:rFonts w:ascii="楷体_GB2312" w:eastAsia="楷体_GB2312" w:hAnsi="楷体" w:hint="eastAsia"/>
                    <w:b/>
                  </w:rPr>
                  <w:t>应退尽退</w:t>
                </w:r>
                <w:r w:rsidR="00EA77FC" w:rsidRPr="00811B24">
                  <w:rPr>
                    <w:rFonts w:ascii="楷体_GB2312" w:eastAsia="楷体_GB2312" w:hAnsi="楷体" w:hint="eastAsia"/>
                    <w:b/>
                  </w:rPr>
                  <w:t>”，针对不同类别、不同板块的退市指标认定将更加细化、退市标准更加清晰，退市执行力度将提高。同时更加重视保障相关投资者的合法权益。</w:t>
                </w:r>
              </w:p>
              <w:p w14:paraId="048845FB" w14:textId="156CB914" w:rsidR="00034FD6" w:rsidRPr="00962144" w:rsidRDefault="00572300" w:rsidP="00962144">
                <w:pPr>
                  <w:numPr>
                    <w:ilvl w:val="0"/>
                    <w:numId w:val="1"/>
                  </w:numPr>
                  <w:tabs>
                    <w:tab w:val="left" w:pos="598"/>
                    <w:tab w:val="left" w:pos="6192"/>
                  </w:tabs>
                  <w:spacing w:beforeLines="50" w:before="156" w:afterLines="50" w:after="156"/>
                  <w:ind w:rightChars="240" w:right="504"/>
                  <w:rPr>
                    <w:rFonts w:ascii="楷体_GB2312" w:eastAsia="楷体_GB2312" w:hAnsi="楷体"/>
                    <w:b/>
                  </w:rPr>
                </w:pPr>
                <w:r w:rsidRPr="00A422DD">
                  <w:rPr>
                    <w:rFonts w:ascii="楷体_GB2312" w:eastAsia="楷体_GB2312" w:hAnsi="楷体" w:hint="eastAsia"/>
                    <w:b/>
                  </w:rPr>
                  <w:t>加强战略性力量储备与稳定市场机制建设，强化交易行为监管，着力</w:t>
                </w:r>
                <w:r w:rsidR="004B21AD">
                  <w:rPr>
                    <w:rFonts w:ascii="楷体_GB2312" w:eastAsia="楷体_GB2312" w:hAnsi="楷体" w:hint="eastAsia"/>
                    <w:b/>
                  </w:rPr>
                  <w:t>稳定</w:t>
                </w:r>
                <w:r w:rsidRPr="00A422DD">
                  <w:rPr>
                    <w:rFonts w:ascii="楷体_GB2312" w:eastAsia="楷体_GB2312" w:hAnsi="楷体" w:hint="eastAsia"/>
                    <w:b/>
                  </w:rPr>
                  <w:t>市场预期：</w:t>
                </w:r>
                <w:r w:rsidRPr="00572300">
                  <w:rPr>
                    <w:rFonts w:ascii="楷体_GB2312" w:eastAsia="楷体_GB2312" w:hAnsi="楷体" w:hint="eastAsia"/>
                    <w:bCs/>
                  </w:rPr>
                  <w:t>意见提出三大要求：（1）促进市场平稳运行。意见提出集中整治私募基金领域突出风险隐患。做好跨市场跨行业跨境风险监测应对；（2）加强交易监管。意见提出出台程序化交易监管规定，加强对高频量化交易监管；严肃查处操纵市场恶意做空等违法违规行为等一系列要求。证监会</w:t>
                </w:r>
                <w:r w:rsidR="00A422DD">
                  <w:rPr>
                    <w:rFonts w:ascii="楷体_GB2312" w:eastAsia="楷体_GB2312" w:hAnsi="楷体" w:hint="eastAsia"/>
                    <w:bCs/>
                  </w:rPr>
                  <w:t>、</w:t>
                </w:r>
                <w:r w:rsidRPr="00572300">
                  <w:rPr>
                    <w:rFonts w:ascii="楷体_GB2312" w:eastAsia="楷体_GB2312" w:hAnsi="楷体" w:hint="eastAsia"/>
                    <w:bCs/>
                  </w:rPr>
                  <w:t>上交所</w:t>
                </w:r>
                <w:r w:rsidR="00A422DD">
                  <w:rPr>
                    <w:rFonts w:ascii="楷体_GB2312" w:eastAsia="楷体_GB2312" w:hAnsi="楷体" w:hint="eastAsia"/>
                    <w:bCs/>
                  </w:rPr>
                  <w:t>同步发布新</w:t>
                </w:r>
                <w:proofErr w:type="gramStart"/>
                <w:r w:rsidR="00A422DD">
                  <w:rPr>
                    <w:rFonts w:ascii="楷体_GB2312" w:eastAsia="楷体_GB2312" w:hAnsi="楷体" w:hint="eastAsia"/>
                    <w:bCs/>
                  </w:rPr>
                  <w:t>规</w:t>
                </w:r>
                <w:proofErr w:type="gramEnd"/>
                <w:r w:rsidR="00A422DD">
                  <w:rPr>
                    <w:rFonts w:ascii="楷体_GB2312" w:eastAsia="楷体_GB2312" w:hAnsi="楷体" w:hint="eastAsia"/>
                    <w:bCs/>
                  </w:rPr>
                  <w:t>规范交易行为</w:t>
                </w:r>
                <w:r w:rsidRPr="00572300">
                  <w:rPr>
                    <w:rFonts w:ascii="楷体_GB2312" w:eastAsia="楷体_GB2312" w:hAnsi="楷体" w:hint="eastAsia"/>
                    <w:bCs/>
                  </w:rPr>
                  <w:t>；（3）健全预期管理机制。将重大经济或非经济政策对资本市场的影响评估内容纳入宏观政策取向一致性评估框架，建立重大政策信息发布协调机制。</w:t>
                </w:r>
              </w:p>
              <w:p w14:paraId="4B5FAFCD" w14:textId="2F0FABD4" w:rsidR="004A2798" w:rsidRDefault="004A2798" w:rsidP="004A2798">
                <w:pPr>
                  <w:numPr>
                    <w:ilvl w:val="0"/>
                    <w:numId w:val="1"/>
                  </w:numPr>
                  <w:tabs>
                    <w:tab w:val="left" w:pos="598"/>
                    <w:tab w:val="left" w:pos="6192"/>
                  </w:tabs>
                  <w:spacing w:beforeLines="50" w:before="156" w:afterLines="50" w:after="156"/>
                  <w:ind w:rightChars="240" w:right="504"/>
                  <w:rPr>
                    <w:rFonts w:ascii="楷体_GB2312" w:eastAsia="楷体_GB2312" w:hAnsi="楷体"/>
                    <w:bCs/>
                  </w:rPr>
                </w:pPr>
                <w:r w:rsidRPr="004A2798">
                  <w:rPr>
                    <w:rFonts w:ascii="楷体_GB2312" w:eastAsia="楷体_GB2312" w:hAnsi="楷体" w:hint="eastAsia"/>
                    <w:b/>
                  </w:rPr>
                  <w:t>投资建议：</w:t>
                </w:r>
                <w:r w:rsidRPr="004A2798">
                  <w:rPr>
                    <w:rFonts w:ascii="楷体_GB2312" w:eastAsia="楷体_GB2312" w:hAnsi="楷体" w:hint="eastAsia"/>
                    <w:bCs/>
                  </w:rPr>
                  <w:t>新“国九条”发布与证监会、交易所等一系列政策组合，体现坚持以投资者为本的监管导向，加大投资者保护力度，将有力推动资本市场高质量发展，预计投资者情绪将得到提振，推动市场信心回暖，吸引中长期资金入市。建议关注：（1）经营较为稳健、业绩改善幅度较大及历史分红比例较高的上市公司；（2）行业技术壁垒较高、自身科技研发实力较强的科技型企业，</w:t>
                </w:r>
                <w:r w:rsidR="0034661D">
                  <w:rPr>
                    <w:rFonts w:ascii="楷体_GB2312" w:eastAsia="楷体_GB2312" w:hAnsi="楷体" w:hint="eastAsia"/>
                    <w:bCs/>
                  </w:rPr>
                  <w:t>可</w:t>
                </w:r>
                <w:r w:rsidRPr="004A2798">
                  <w:rPr>
                    <w:rFonts w:ascii="楷体_GB2312" w:eastAsia="楷体_GB2312" w:hAnsi="楷体" w:hint="eastAsia"/>
                    <w:bCs/>
                  </w:rPr>
                  <w:t>重点关注专精特新小巨人企业。</w:t>
                </w:r>
              </w:p>
              <w:p w14:paraId="18371B6B" w14:textId="68342B3C" w:rsidR="003B0AB9" w:rsidRPr="00545B3A" w:rsidRDefault="00235FC9" w:rsidP="007F3911">
                <w:pPr>
                  <w:numPr>
                    <w:ilvl w:val="0"/>
                    <w:numId w:val="1"/>
                  </w:numPr>
                  <w:tabs>
                    <w:tab w:val="left" w:pos="598"/>
                    <w:tab w:val="left" w:pos="6192"/>
                  </w:tabs>
                  <w:spacing w:beforeLines="50" w:before="156" w:afterLines="50" w:after="156"/>
                  <w:ind w:rightChars="240" w:right="504"/>
                  <w:rPr>
                    <w:rFonts w:ascii="楷体_GB2312" w:eastAsia="楷体_GB2312" w:hAnsi="楷体"/>
                    <w:b/>
                  </w:rPr>
                </w:pPr>
                <w:r>
                  <w:rPr>
                    <w:rFonts w:ascii="楷体_GB2312" w:eastAsia="楷体_GB2312" w:hAnsi="楷体" w:hint="eastAsia"/>
                    <w:b/>
                    <w:color w:val="000000"/>
                  </w:rPr>
                  <w:t>风险因素：</w:t>
                </w:r>
                <w:bookmarkStart w:id="9" w:name="_Hlk163907124"/>
                <w:r>
                  <w:rPr>
                    <w:rFonts w:ascii="楷体_GB2312" w:eastAsia="楷体_GB2312" w:hAnsi="楷体" w:hint="eastAsia"/>
                    <w:bCs/>
                    <w:color w:val="000000"/>
                  </w:rPr>
                  <w:t>政策效果未如预期；国内经济</w:t>
                </w:r>
                <w:r w:rsidR="006829F1">
                  <w:rPr>
                    <w:rFonts w:ascii="楷体_GB2312" w:eastAsia="楷体_GB2312" w:hAnsi="楷体" w:hint="eastAsia"/>
                    <w:bCs/>
                    <w:color w:val="000000"/>
                  </w:rPr>
                  <w:t>表现不及预期</w:t>
                </w:r>
                <w:r>
                  <w:rPr>
                    <w:rFonts w:ascii="楷体_GB2312" w:eastAsia="楷体_GB2312" w:hAnsi="楷体" w:hint="eastAsia"/>
                    <w:bCs/>
                    <w:color w:val="000000"/>
                  </w:rPr>
                  <w:t>；投资者情绪波动</w:t>
                </w:r>
                <w:bookmarkEnd w:id="9"/>
                <w:r>
                  <w:rPr>
                    <w:rFonts w:ascii="楷体_GB2312" w:eastAsia="楷体_GB2312" w:hAnsi="楷体" w:hint="eastAsia"/>
                    <w:bCs/>
                    <w:color w:val="000000"/>
                  </w:rPr>
                  <w:t>。</w:t>
                </w:r>
              </w:p>
            </w:tc>
          </w:tr>
          <w:tr w:rsidR="00235FC9" w14:paraId="10DEEC97" w14:textId="77777777" w:rsidTr="007553F6">
            <w:tc>
              <w:tcPr>
                <w:tcW w:w="6623" w:type="dxa"/>
              </w:tcPr>
              <w:p w14:paraId="2062FF0A" w14:textId="77777777" w:rsidR="00235FC9" w:rsidRPr="003937C6" w:rsidRDefault="00235FC9" w:rsidP="007553F6">
                <w:pPr>
                  <w:ind w:rightChars="411" w:right="863"/>
                  <w:jc w:val="left"/>
                  <w:rPr>
                    <w:rFonts w:ascii="楷体_GB2312" w:eastAsia="楷体_GB2312" w:hAnsi="楷体"/>
                    <w:b/>
                    <w:color w:val="000000"/>
                    <w:sz w:val="24"/>
                  </w:rPr>
                </w:pPr>
              </w:p>
            </w:tc>
          </w:tr>
        </w:tbl>
        <w:p w14:paraId="124EE85B" w14:textId="77777777" w:rsidR="003B0AB9" w:rsidRDefault="00000000" w:rsidP="003B0AB9">
          <w:pPr>
            <w:spacing w:line="14" w:lineRule="exact"/>
            <w:ind w:leftChars="50" w:left="105" w:rightChars="411" w:right="863"/>
            <w:jc w:val="left"/>
          </w:pPr>
        </w:p>
      </w:sdtContent>
    </w:sdt>
    <w:p w14:paraId="7834B2D6" w14:textId="77777777" w:rsidR="003B0AB9" w:rsidRDefault="003B0AB9" w:rsidP="003B0AB9">
      <w:pPr>
        <w:widowControl/>
        <w:tabs>
          <w:tab w:val="left" w:pos="3360"/>
        </w:tabs>
        <w:spacing w:line="14" w:lineRule="exact"/>
        <w:jc w:val="left"/>
      </w:pPr>
    </w:p>
    <w:p w14:paraId="18BDBC66" w14:textId="77777777" w:rsidR="003B0AB9" w:rsidRDefault="003B0AB9" w:rsidP="003B0AB9">
      <w:pPr>
        <w:widowControl/>
        <w:tabs>
          <w:tab w:val="left" w:pos="3360"/>
        </w:tabs>
        <w:spacing w:line="14" w:lineRule="exact"/>
        <w:jc w:val="left"/>
        <w:sectPr w:rsidR="003B0AB9" w:rsidSect="00097663">
          <w:type w:val="continuous"/>
          <w:pgSz w:w="11906" w:h="16838" w:code="9"/>
          <w:pgMar w:top="709" w:right="4564" w:bottom="851" w:left="1106" w:header="851" w:footer="992" w:gutter="0"/>
          <w:cols w:space="425"/>
          <w:docGrid w:type="linesAndChars" w:linePitch="312"/>
        </w:sectPr>
      </w:pPr>
    </w:p>
    <w:p w14:paraId="41F143E3" w14:textId="77777777" w:rsidR="003B0AB9" w:rsidRDefault="003B0AB9" w:rsidP="003B0AB9">
      <w:pPr>
        <w:adjustRightInd w:val="0"/>
        <w:snapToGrid w:val="0"/>
        <w:spacing w:line="14" w:lineRule="exact"/>
        <w:jc w:val="left"/>
        <w:rPr>
          <w:b/>
          <w:bCs/>
        </w:rPr>
      </w:pPr>
    </w:p>
    <w:p w14:paraId="5FC62318" w14:textId="77777777" w:rsidR="003B0AB9" w:rsidRDefault="003B0AB9" w:rsidP="003B0AB9">
      <w:pPr>
        <w:adjustRightInd w:val="0"/>
        <w:snapToGrid w:val="0"/>
        <w:spacing w:line="14" w:lineRule="exact"/>
        <w:jc w:val="left"/>
        <w:rPr>
          <w:b/>
          <w:bCs/>
        </w:rPr>
      </w:pPr>
    </w:p>
    <w:p w14:paraId="4F3D426F" w14:textId="77777777" w:rsidR="003B0AB9" w:rsidRPr="00CB5684" w:rsidRDefault="003B0AB9" w:rsidP="003B0AB9">
      <w:pPr>
        <w:adjustRightInd w:val="0"/>
        <w:snapToGrid w:val="0"/>
        <w:spacing w:line="14" w:lineRule="exact"/>
        <w:jc w:val="left"/>
        <w:rPr>
          <w:b/>
          <w:bCs/>
          <w:color w:val="FFFFFF" w:themeColor="background1"/>
        </w:rPr>
        <w:sectPr w:rsidR="003B0AB9" w:rsidRPr="00CB5684" w:rsidSect="00097663">
          <w:type w:val="continuous"/>
          <w:pgSz w:w="11906" w:h="16838" w:code="9"/>
          <w:pgMar w:top="709" w:right="851" w:bottom="851" w:left="1021" w:header="851" w:footer="992" w:gutter="0"/>
          <w:cols w:space="425"/>
          <w:docGrid w:type="lines" w:linePitch="312"/>
        </w:sectPr>
      </w:pPr>
    </w:p>
    <w:sdt>
      <w:sdtPr>
        <w:id w:val="1911500784"/>
        <w:lock w:val="sdtContentLocked"/>
        <w:placeholder>
          <w:docPart w:val="DefaultPlaceholder_-1854013440"/>
        </w:placeholder>
      </w:sdtPr>
      <w:sdtEndPr>
        <w:rPr>
          <w:color w:val="FFFFFF" w:themeColor="background1"/>
        </w:rPr>
      </w:sdtEndPr>
      <w:sdtContent>
        <w:p w14:paraId="50B4223E" w14:textId="5CFE8C78" w:rsidR="003B0AB9" w:rsidRPr="006C0959" w:rsidRDefault="006C0959" w:rsidP="006C0959">
          <w:pPr>
            <w:pStyle w:val="a7"/>
            <w:spacing w:before="156" w:after="156" w:line="14" w:lineRule="exact"/>
            <w:ind w:left="2520"/>
            <w:rPr>
              <w:color w:val="FFFFFF" w:themeColor="background1"/>
            </w:rPr>
          </w:pPr>
          <w:r w:rsidRPr="006C0959">
            <w:rPr>
              <w:rFonts w:hint="eastAsia"/>
              <w:color w:val="FFFFFF" w:themeColor="background1"/>
            </w:rPr>
            <w:t>$</w:t>
          </w:r>
          <w:r w:rsidRPr="006C0959">
            <w:rPr>
              <w:color w:val="FFFFFF" w:themeColor="background1"/>
            </w:rPr>
            <w:t>$start$$</w:t>
          </w:r>
        </w:p>
      </w:sdtContent>
    </w:sdt>
    <w:p w14:paraId="29928DF3" w14:textId="77777777" w:rsidR="003B0AB9" w:rsidRPr="001442CB" w:rsidRDefault="003B0AB9" w:rsidP="003B0AB9">
      <w:pPr>
        <w:pStyle w:val="a7"/>
        <w:spacing w:before="156" w:after="156"/>
        <w:ind w:left="2520"/>
        <w:jc w:val="center"/>
        <w:rPr>
          <w:b/>
          <w:bCs/>
          <w:sz w:val="28"/>
          <w:szCs w:val="28"/>
        </w:rPr>
      </w:pPr>
      <w:r w:rsidRPr="001442CB">
        <w:rPr>
          <w:rFonts w:hint="eastAsia"/>
          <w:b/>
          <w:bCs/>
          <w:sz w:val="28"/>
          <w:szCs w:val="28"/>
        </w:rPr>
        <w:t>正文目录</w:t>
      </w:r>
    </w:p>
    <w:p w14:paraId="505C77D2" w14:textId="61786CE5" w:rsidR="00CF4942" w:rsidRDefault="007A2A80">
      <w:pPr>
        <w:pStyle w:val="TOC1"/>
        <w:ind w:left="2520"/>
        <w:rPr>
          <w:rFonts w:asciiTheme="minorHAnsi" w:eastAsiaTheme="minorEastAsia" w:hAnsiTheme="minorHAnsi"/>
          <w:b w:val="0"/>
          <w:noProof/>
          <w:szCs w:val="22"/>
          <w14:ligatures w14:val="standardContextual"/>
        </w:rPr>
      </w:pPr>
      <w:r>
        <w:fldChar w:fldCharType="begin"/>
      </w:r>
      <w:r>
        <w:instrText xml:space="preserve"> TOC \h \z \u \t "</w:instrText>
      </w:r>
      <w:r>
        <w:instrText>万联一级标题</w:instrText>
      </w:r>
      <w:r>
        <w:instrText>,1,</w:instrText>
      </w:r>
      <w:r>
        <w:instrText>万联二级标题</w:instrText>
      </w:r>
      <w:r>
        <w:instrText>,2,</w:instrText>
      </w:r>
      <w:r>
        <w:instrText>万联三级标题</w:instrText>
      </w:r>
      <w:r>
        <w:instrText xml:space="preserve">,3" </w:instrText>
      </w:r>
      <w:r>
        <w:fldChar w:fldCharType="separate"/>
      </w:r>
      <w:hyperlink w:anchor="_Toc163928342" w:history="1">
        <w:r w:rsidR="00CF4942" w:rsidRPr="0020796C">
          <w:rPr>
            <w:rStyle w:val="ae"/>
            <w:noProof/>
          </w:rPr>
          <w:t xml:space="preserve">1 </w:t>
        </w:r>
        <w:r w:rsidR="00CF4942" w:rsidRPr="0020796C">
          <w:rPr>
            <w:rStyle w:val="ae"/>
            <w:noProof/>
          </w:rPr>
          <w:t>资本市场迎来新</w:t>
        </w:r>
        <w:r w:rsidR="00CF4942" w:rsidRPr="0020796C">
          <w:rPr>
            <w:rStyle w:val="ae"/>
            <w:noProof/>
          </w:rPr>
          <w:t>“</w:t>
        </w:r>
        <w:r w:rsidR="00CF4942" w:rsidRPr="0020796C">
          <w:rPr>
            <w:rStyle w:val="ae"/>
            <w:noProof/>
          </w:rPr>
          <w:t>国九条</w:t>
        </w:r>
        <w:r w:rsidR="00CF4942" w:rsidRPr="0020796C">
          <w:rPr>
            <w:rStyle w:val="ae"/>
            <w:noProof/>
          </w:rPr>
          <w:t>”</w:t>
        </w:r>
        <w:r w:rsidR="00CF4942">
          <w:rPr>
            <w:noProof/>
            <w:webHidden/>
          </w:rPr>
          <w:tab/>
        </w:r>
        <w:r w:rsidR="00CF4942">
          <w:rPr>
            <w:noProof/>
            <w:webHidden/>
          </w:rPr>
          <w:fldChar w:fldCharType="begin"/>
        </w:r>
        <w:r w:rsidR="00CF4942">
          <w:rPr>
            <w:noProof/>
            <w:webHidden/>
          </w:rPr>
          <w:instrText xml:space="preserve"> PAGEREF _Toc163928342 \h </w:instrText>
        </w:r>
        <w:r w:rsidR="00CF4942">
          <w:rPr>
            <w:noProof/>
            <w:webHidden/>
          </w:rPr>
        </w:r>
        <w:r w:rsidR="00CF4942">
          <w:rPr>
            <w:noProof/>
            <w:webHidden/>
          </w:rPr>
          <w:fldChar w:fldCharType="separate"/>
        </w:r>
        <w:r w:rsidR="00B830C4">
          <w:rPr>
            <w:noProof/>
            <w:webHidden/>
          </w:rPr>
          <w:t>4</w:t>
        </w:r>
        <w:r w:rsidR="00CF4942">
          <w:rPr>
            <w:noProof/>
            <w:webHidden/>
          </w:rPr>
          <w:fldChar w:fldCharType="end"/>
        </w:r>
      </w:hyperlink>
    </w:p>
    <w:p w14:paraId="066DA4A9" w14:textId="242AE11C" w:rsidR="00CF4942" w:rsidRDefault="00CF4942">
      <w:pPr>
        <w:pStyle w:val="TOC1"/>
        <w:ind w:left="2520"/>
        <w:rPr>
          <w:rFonts w:asciiTheme="minorHAnsi" w:eastAsiaTheme="minorEastAsia" w:hAnsiTheme="minorHAnsi"/>
          <w:b w:val="0"/>
          <w:noProof/>
          <w:szCs w:val="22"/>
          <w14:ligatures w14:val="standardContextual"/>
        </w:rPr>
      </w:pPr>
      <w:hyperlink w:anchor="_Toc163928343" w:history="1">
        <w:r w:rsidRPr="0020796C">
          <w:rPr>
            <w:rStyle w:val="ae"/>
            <w:noProof/>
          </w:rPr>
          <w:t xml:space="preserve">2 </w:t>
        </w:r>
        <w:r w:rsidRPr="0020796C">
          <w:rPr>
            <w:rStyle w:val="ae"/>
            <w:noProof/>
          </w:rPr>
          <w:t>新</w:t>
        </w:r>
        <w:r w:rsidRPr="0020796C">
          <w:rPr>
            <w:rStyle w:val="ae"/>
            <w:noProof/>
          </w:rPr>
          <w:t>“</w:t>
        </w:r>
        <w:r w:rsidRPr="0020796C">
          <w:rPr>
            <w:rStyle w:val="ae"/>
            <w:noProof/>
          </w:rPr>
          <w:t>国九条</w:t>
        </w:r>
        <w:r w:rsidRPr="0020796C">
          <w:rPr>
            <w:rStyle w:val="ae"/>
            <w:noProof/>
          </w:rPr>
          <w:t>”</w:t>
        </w:r>
        <w:r w:rsidRPr="0020796C">
          <w:rPr>
            <w:rStyle w:val="ae"/>
            <w:noProof/>
          </w:rPr>
          <w:t>总体要求为我国长期资本市场发展描绘蓝图</w:t>
        </w:r>
        <w:r>
          <w:rPr>
            <w:noProof/>
            <w:webHidden/>
          </w:rPr>
          <w:tab/>
        </w:r>
        <w:r>
          <w:rPr>
            <w:noProof/>
            <w:webHidden/>
          </w:rPr>
          <w:fldChar w:fldCharType="begin"/>
        </w:r>
        <w:r>
          <w:rPr>
            <w:noProof/>
            <w:webHidden/>
          </w:rPr>
          <w:instrText xml:space="preserve"> PAGEREF _Toc163928343 \h </w:instrText>
        </w:r>
        <w:r>
          <w:rPr>
            <w:noProof/>
            <w:webHidden/>
          </w:rPr>
        </w:r>
        <w:r>
          <w:rPr>
            <w:noProof/>
            <w:webHidden/>
          </w:rPr>
          <w:fldChar w:fldCharType="separate"/>
        </w:r>
        <w:r w:rsidR="00B830C4">
          <w:rPr>
            <w:noProof/>
            <w:webHidden/>
          </w:rPr>
          <w:t>5</w:t>
        </w:r>
        <w:r>
          <w:rPr>
            <w:noProof/>
            <w:webHidden/>
          </w:rPr>
          <w:fldChar w:fldCharType="end"/>
        </w:r>
      </w:hyperlink>
    </w:p>
    <w:p w14:paraId="3752940D" w14:textId="623087E5" w:rsidR="00CF4942" w:rsidRDefault="00CF4942">
      <w:pPr>
        <w:pStyle w:val="TOC1"/>
        <w:ind w:left="2520"/>
        <w:rPr>
          <w:rFonts w:asciiTheme="minorHAnsi" w:eastAsiaTheme="minorEastAsia" w:hAnsiTheme="minorHAnsi"/>
          <w:b w:val="0"/>
          <w:noProof/>
          <w:szCs w:val="22"/>
          <w14:ligatures w14:val="standardContextual"/>
        </w:rPr>
      </w:pPr>
      <w:hyperlink w:anchor="_Toc163928344" w:history="1">
        <w:r w:rsidRPr="0020796C">
          <w:rPr>
            <w:rStyle w:val="ae"/>
            <w:noProof/>
          </w:rPr>
          <w:t xml:space="preserve">3 </w:t>
        </w:r>
        <w:r w:rsidRPr="0020796C">
          <w:rPr>
            <w:rStyle w:val="ae"/>
            <w:noProof/>
          </w:rPr>
          <w:t>企业</w:t>
        </w:r>
        <w:r w:rsidRPr="0020796C">
          <w:rPr>
            <w:rStyle w:val="ae"/>
            <w:noProof/>
          </w:rPr>
          <w:t>“</w:t>
        </w:r>
        <w:r w:rsidRPr="0020796C">
          <w:rPr>
            <w:rStyle w:val="ae"/>
            <w:noProof/>
          </w:rPr>
          <w:t>发行上市</w:t>
        </w:r>
        <w:r w:rsidRPr="0020796C">
          <w:rPr>
            <w:rStyle w:val="ae"/>
            <w:noProof/>
          </w:rPr>
          <w:t>-</w:t>
        </w:r>
        <w:r w:rsidRPr="0020796C">
          <w:rPr>
            <w:rStyle w:val="ae"/>
            <w:noProof/>
          </w:rPr>
          <w:t>日常监管</w:t>
        </w:r>
        <w:r w:rsidRPr="0020796C">
          <w:rPr>
            <w:rStyle w:val="ae"/>
            <w:noProof/>
          </w:rPr>
          <w:t>-</w:t>
        </w:r>
        <w:r w:rsidRPr="0020796C">
          <w:rPr>
            <w:rStyle w:val="ae"/>
            <w:noProof/>
          </w:rPr>
          <w:t>退市</w:t>
        </w:r>
        <w:r w:rsidRPr="0020796C">
          <w:rPr>
            <w:rStyle w:val="ae"/>
            <w:noProof/>
          </w:rPr>
          <w:t>”</w:t>
        </w:r>
        <w:r w:rsidRPr="0020796C">
          <w:rPr>
            <w:rStyle w:val="ae"/>
            <w:noProof/>
          </w:rPr>
          <w:t>全链条监管从严</w:t>
        </w:r>
        <w:r>
          <w:rPr>
            <w:noProof/>
            <w:webHidden/>
          </w:rPr>
          <w:tab/>
        </w:r>
        <w:r>
          <w:rPr>
            <w:noProof/>
            <w:webHidden/>
          </w:rPr>
          <w:fldChar w:fldCharType="begin"/>
        </w:r>
        <w:r>
          <w:rPr>
            <w:noProof/>
            <w:webHidden/>
          </w:rPr>
          <w:instrText xml:space="preserve"> PAGEREF _Toc163928344 \h </w:instrText>
        </w:r>
        <w:r>
          <w:rPr>
            <w:noProof/>
            <w:webHidden/>
          </w:rPr>
        </w:r>
        <w:r>
          <w:rPr>
            <w:noProof/>
            <w:webHidden/>
          </w:rPr>
          <w:fldChar w:fldCharType="separate"/>
        </w:r>
        <w:r w:rsidR="00B830C4">
          <w:rPr>
            <w:noProof/>
            <w:webHidden/>
          </w:rPr>
          <w:t>5</w:t>
        </w:r>
        <w:r>
          <w:rPr>
            <w:noProof/>
            <w:webHidden/>
          </w:rPr>
          <w:fldChar w:fldCharType="end"/>
        </w:r>
      </w:hyperlink>
    </w:p>
    <w:p w14:paraId="76069A73" w14:textId="2071816B" w:rsidR="00CF4942" w:rsidRDefault="00CF4942">
      <w:pPr>
        <w:pStyle w:val="TOC2"/>
        <w:ind w:left="2940"/>
        <w:rPr>
          <w:rFonts w:asciiTheme="minorHAnsi" w:eastAsiaTheme="minorEastAsia" w:hAnsiTheme="minorHAnsi"/>
          <w:noProof/>
          <w:szCs w:val="22"/>
          <w14:ligatures w14:val="standardContextual"/>
        </w:rPr>
      </w:pPr>
      <w:hyperlink w:anchor="_Toc163928345" w:history="1">
        <w:r w:rsidRPr="0020796C">
          <w:rPr>
            <w:rStyle w:val="ae"/>
            <w:noProof/>
          </w:rPr>
          <w:t xml:space="preserve">3.1 </w:t>
        </w:r>
        <w:r w:rsidRPr="0020796C">
          <w:rPr>
            <w:rStyle w:val="ae"/>
            <w:noProof/>
          </w:rPr>
          <w:t>上市准入门槛提高，强化关键指标</w:t>
        </w:r>
        <w:r>
          <w:rPr>
            <w:noProof/>
            <w:webHidden/>
          </w:rPr>
          <w:tab/>
        </w:r>
        <w:r>
          <w:rPr>
            <w:noProof/>
            <w:webHidden/>
          </w:rPr>
          <w:fldChar w:fldCharType="begin"/>
        </w:r>
        <w:r>
          <w:rPr>
            <w:noProof/>
            <w:webHidden/>
          </w:rPr>
          <w:instrText xml:space="preserve"> PAGEREF _Toc163928345 \h </w:instrText>
        </w:r>
        <w:r>
          <w:rPr>
            <w:noProof/>
            <w:webHidden/>
          </w:rPr>
        </w:r>
        <w:r>
          <w:rPr>
            <w:noProof/>
            <w:webHidden/>
          </w:rPr>
          <w:fldChar w:fldCharType="separate"/>
        </w:r>
        <w:r w:rsidR="00B830C4">
          <w:rPr>
            <w:noProof/>
            <w:webHidden/>
          </w:rPr>
          <w:t>5</w:t>
        </w:r>
        <w:r>
          <w:rPr>
            <w:noProof/>
            <w:webHidden/>
          </w:rPr>
          <w:fldChar w:fldCharType="end"/>
        </w:r>
      </w:hyperlink>
    </w:p>
    <w:p w14:paraId="766024E9" w14:textId="3CF03B74" w:rsidR="00CF4942" w:rsidRDefault="00CF4942">
      <w:pPr>
        <w:pStyle w:val="TOC2"/>
        <w:ind w:left="2940"/>
        <w:rPr>
          <w:rFonts w:asciiTheme="minorHAnsi" w:eastAsiaTheme="minorEastAsia" w:hAnsiTheme="minorHAnsi"/>
          <w:noProof/>
          <w:szCs w:val="22"/>
          <w14:ligatures w14:val="standardContextual"/>
        </w:rPr>
      </w:pPr>
      <w:hyperlink w:anchor="_Toc163928346" w:history="1">
        <w:r w:rsidRPr="0020796C">
          <w:rPr>
            <w:rStyle w:val="ae"/>
            <w:noProof/>
          </w:rPr>
          <w:t xml:space="preserve">3.2 </w:t>
        </w:r>
        <w:r w:rsidRPr="0020796C">
          <w:rPr>
            <w:rStyle w:val="ae"/>
            <w:noProof/>
          </w:rPr>
          <w:t>上市公司日常监管标准更为细致，减持、分红、市值管理等规定进一步明晰</w:t>
        </w:r>
        <w:r>
          <w:rPr>
            <w:noProof/>
            <w:webHidden/>
          </w:rPr>
          <w:tab/>
        </w:r>
        <w:r>
          <w:rPr>
            <w:noProof/>
            <w:webHidden/>
          </w:rPr>
          <w:fldChar w:fldCharType="begin"/>
        </w:r>
        <w:r>
          <w:rPr>
            <w:noProof/>
            <w:webHidden/>
          </w:rPr>
          <w:instrText xml:space="preserve"> PAGEREF _Toc163928346 \h </w:instrText>
        </w:r>
        <w:r>
          <w:rPr>
            <w:noProof/>
            <w:webHidden/>
          </w:rPr>
        </w:r>
        <w:r>
          <w:rPr>
            <w:noProof/>
            <w:webHidden/>
          </w:rPr>
          <w:fldChar w:fldCharType="separate"/>
        </w:r>
        <w:r w:rsidR="00B830C4">
          <w:rPr>
            <w:noProof/>
            <w:webHidden/>
          </w:rPr>
          <w:t>6</w:t>
        </w:r>
        <w:r>
          <w:rPr>
            <w:noProof/>
            <w:webHidden/>
          </w:rPr>
          <w:fldChar w:fldCharType="end"/>
        </w:r>
      </w:hyperlink>
    </w:p>
    <w:p w14:paraId="6174F7A7" w14:textId="296284C6" w:rsidR="00CF4942" w:rsidRDefault="00CF4942">
      <w:pPr>
        <w:pStyle w:val="TOC2"/>
        <w:ind w:left="2940"/>
        <w:rPr>
          <w:rFonts w:asciiTheme="minorHAnsi" w:eastAsiaTheme="minorEastAsia" w:hAnsiTheme="minorHAnsi"/>
          <w:noProof/>
          <w:szCs w:val="22"/>
          <w14:ligatures w14:val="standardContextual"/>
        </w:rPr>
      </w:pPr>
      <w:hyperlink w:anchor="_Toc163928347" w:history="1">
        <w:r w:rsidRPr="0020796C">
          <w:rPr>
            <w:rStyle w:val="ae"/>
            <w:noProof/>
          </w:rPr>
          <w:t xml:space="preserve">3.3 </w:t>
        </w:r>
        <w:r w:rsidRPr="0020796C">
          <w:rPr>
            <w:rStyle w:val="ae"/>
            <w:noProof/>
          </w:rPr>
          <w:t>退市机制更为畅通，差异化退市标准逐步明确</w:t>
        </w:r>
        <w:r>
          <w:rPr>
            <w:noProof/>
            <w:webHidden/>
          </w:rPr>
          <w:tab/>
        </w:r>
        <w:r>
          <w:rPr>
            <w:noProof/>
            <w:webHidden/>
          </w:rPr>
          <w:fldChar w:fldCharType="begin"/>
        </w:r>
        <w:r>
          <w:rPr>
            <w:noProof/>
            <w:webHidden/>
          </w:rPr>
          <w:instrText xml:space="preserve"> PAGEREF _Toc163928347 \h </w:instrText>
        </w:r>
        <w:r>
          <w:rPr>
            <w:noProof/>
            <w:webHidden/>
          </w:rPr>
        </w:r>
        <w:r>
          <w:rPr>
            <w:noProof/>
            <w:webHidden/>
          </w:rPr>
          <w:fldChar w:fldCharType="separate"/>
        </w:r>
        <w:r w:rsidR="00B830C4">
          <w:rPr>
            <w:noProof/>
            <w:webHidden/>
          </w:rPr>
          <w:t>7</w:t>
        </w:r>
        <w:r>
          <w:rPr>
            <w:noProof/>
            <w:webHidden/>
          </w:rPr>
          <w:fldChar w:fldCharType="end"/>
        </w:r>
      </w:hyperlink>
    </w:p>
    <w:p w14:paraId="5F4DA8FE" w14:textId="7C766B46" w:rsidR="00CF4942" w:rsidRDefault="00CF4942">
      <w:pPr>
        <w:pStyle w:val="TOC1"/>
        <w:ind w:left="2520"/>
        <w:rPr>
          <w:rFonts w:asciiTheme="minorHAnsi" w:eastAsiaTheme="minorEastAsia" w:hAnsiTheme="minorHAnsi"/>
          <w:b w:val="0"/>
          <w:noProof/>
          <w:szCs w:val="22"/>
          <w14:ligatures w14:val="standardContextual"/>
        </w:rPr>
      </w:pPr>
      <w:hyperlink w:anchor="_Toc163928348" w:history="1">
        <w:r w:rsidRPr="0020796C">
          <w:rPr>
            <w:rStyle w:val="ae"/>
            <w:noProof/>
          </w:rPr>
          <w:t xml:space="preserve">4 </w:t>
        </w:r>
        <w:r w:rsidRPr="0020796C">
          <w:rPr>
            <w:rStyle w:val="ae"/>
            <w:noProof/>
          </w:rPr>
          <w:t>强化交易监管，稳定市场预期</w:t>
        </w:r>
        <w:r>
          <w:rPr>
            <w:noProof/>
            <w:webHidden/>
          </w:rPr>
          <w:tab/>
        </w:r>
        <w:r>
          <w:rPr>
            <w:noProof/>
            <w:webHidden/>
          </w:rPr>
          <w:fldChar w:fldCharType="begin"/>
        </w:r>
        <w:r>
          <w:rPr>
            <w:noProof/>
            <w:webHidden/>
          </w:rPr>
          <w:instrText xml:space="preserve"> PAGEREF _Toc163928348 \h </w:instrText>
        </w:r>
        <w:r>
          <w:rPr>
            <w:noProof/>
            <w:webHidden/>
          </w:rPr>
        </w:r>
        <w:r>
          <w:rPr>
            <w:noProof/>
            <w:webHidden/>
          </w:rPr>
          <w:fldChar w:fldCharType="separate"/>
        </w:r>
        <w:r w:rsidR="00B830C4">
          <w:rPr>
            <w:noProof/>
            <w:webHidden/>
          </w:rPr>
          <w:t>8</w:t>
        </w:r>
        <w:r>
          <w:rPr>
            <w:noProof/>
            <w:webHidden/>
          </w:rPr>
          <w:fldChar w:fldCharType="end"/>
        </w:r>
      </w:hyperlink>
    </w:p>
    <w:p w14:paraId="4159049F" w14:textId="68E153DB" w:rsidR="00CF4942" w:rsidRDefault="00CF4942">
      <w:pPr>
        <w:pStyle w:val="TOC1"/>
        <w:ind w:left="2520"/>
        <w:rPr>
          <w:rFonts w:asciiTheme="minorHAnsi" w:eastAsiaTheme="minorEastAsia" w:hAnsiTheme="minorHAnsi"/>
          <w:b w:val="0"/>
          <w:noProof/>
          <w:szCs w:val="22"/>
          <w14:ligatures w14:val="standardContextual"/>
        </w:rPr>
      </w:pPr>
      <w:hyperlink w:anchor="_Toc163928349" w:history="1">
        <w:r w:rsidRPr="0020796C">
          <w:rPr>
            <w:rStyle w:val="ae"/>
            <w:noProof/>
          </w:rPr>
          <w:t xml:space="preserve">5 </w:t>
        </w:r>
        <w:r w:rsidRPr="0020796C">
          <w:rPr>
            <w:rStyle w:val="ae"/>
            <w:noProof/>
          </w:rPr>
          <w:t>投资建议</w:t>
        </w:r>
        <w:r>
          <w:rPr>
            <w:noProof/>
            <w:webHidden/>
          </w:rPr>
          <w:tab/>
        </w:r>
        <w:r>
          <w:rPr>
            <w:noProof/>
            <w:webHidden/>
          </w:rPr>
          <w:fldChar w:fldCharType="begin"/>
        </w:r>
        <w:r>
          <w:rPr>
            <w:noProof/>
            <w:webHidden/>
          </w:rPr>
          <w:instrText xml:space="preserve"> PAGEREF _Toc163928349 \h </w:instrText>
        </w:r>
        <w:r>
          <w:rPr>
            <w:noProof/>
            <w:webHidden/>
          </w:rPr>
        </w:r>
        <w:r>
          <w:rPr>
            <w:noProof/>
            <w:webHidden/>
          </w:rPr>
          <w:fldChar w:fldCharType="separate"/>
        </w:r>
        <w:r w:rsidR="00B830C4">
          <w:rPr>
            <w:noProof/>
            <w:webHidden/>
          </w:rPr>
          <w:t>8</w:t>
        </w:r>
        <w:r>
          <w:rPr>
            <w:noProof/>
            <w:webHidden/>
          </w:rPr>
          <w:fldChar w:fldCharType="end"/>
        </w:r>
      </w:hyperlink>
    </w:p>
    <w:p w14:paraId="0F131444" w14:textId="67230CBA" w:rsidR="00CF4942" w:rsidRDefault="00CF4942">
      <w:pPr>
        <w:pStyle w:val="TOC1"/>
        <w:ind w:left="2520"/>
        <w:rPr>
          <w:rFonts w:asciiTheme="minorHAnsi" w:eastAsiaTheme="minorEastAsia" w:hAnsiTheme="minorHAnsi"/>
          <w:b w:val="0"/>
          <w:noProof/>
          <w:szCs w:val="22"/>
          <w14:ligatures w14:val="standardContextual"/>
        </w:rPr>
      </w:pPr>
      <w:hyperlink w:anchor="_Toc163928350" w:history="1">
        <w:r w:rsidRPr="0020796C">
          <w:rPr>
            <w:rStyle w:val="ae"/>
            <w:noProof/>
          </w:rPr>
          <w:t xml:space="preserve">6 </w:t>
        </w:r>
        <w:r w:rsidRPr="0020796C">
          <w:rPr>
            <w:rStyle w:val="ae"/>
            <w:noProof/>
          </w:rPr>
          <w:t>风险因素</w:t>
        </w:r>
        <w:r>
          <w:rPr>
            <w:noProof/>
            <w:webHidden/>
          </w:rPr>
          <w:tab/>
        </w:r>
        <w:r>
          <w:rPr>
            <w:noProof/>
            <w:webHidden/>
          </w:rPr>
          <w:fldChar w:fldCharType="begin"/>
        </w:r>
        <w:r>
          <w:rPr>
            <w:noProof/>
            <w:webHidden/>
          </w:rPr>
          <w:instrText xml:space="preserve"> PAGEREF _Toc163928350 \h </w:instrText>
        </w:r>
        <w:r>
          <w:rPr>
            <w:noProof/>
            <w:webHidden/>
          </w:rPr>
        </w:r>
        <w:r>
          <w:rPr>
            <w:noProof/>
            <w:webHidden/>
          </w:rPr>
          <w:fldChar w:fldCharType="separate"/>
        </w:r>
        <w:r w:rsidR="00B830C4">
          <w:rPr>
            <w:noProof/>
            <w:webHidden/>
          </w:rPr>
          <w:t>8</w:t>
        </w:r>
        <w:r>
          <w:rPr>
            <w:noProof/>
            <w:webHidden/>
          </w:rPr>
          <w:fldChar w:fldCharType="end"/>
        </w:r>
      </w:hyperlink>
    </w:p>
    <w:p w14:paraId="305A0389" w14:textId="69FD39A3" w:rsidR="003B0AB9" w:rsidRPr="001442CB" w:rsidRDefault="007A2A80" w:rsidP="003B0AB9">
      <w:pPr>
        <w:pStyle w:val="a7"/>
        <w:spacing w:before="156" w:after="156"/>
        <w:ind w:left="2520"/>
      </w:pPr>
      <w:r>
        <w:rPr>
          <w:rFonts w:ascii="Times New Roman" w:hAnsi="Times New Roman"/>
        </w:rPr>
        <w:fldChar w:fldCharType="end"/>
      </w:r>
    </w:p>
    <w:p w14:paraId="0B13CC8A" w14:textId="13BB7717" w:rsidR="00CF4942" w:rsidRDefault="003B0AB9">
      <w:pPr>
        <w:pStyle w:val="TOC9"/>
        <w:tabs>
          <w:tab w:val="right" w:leader="dot" w:pos="10194"/>
        </w:tabs>
        <w:ind w:left="2520"/>
        <w:rPr>
          <w:rFonts w:asciiTheme="minorHAnsi" w:eastAsiaTheme="minorEastAsia" w:hAnsiTheme="minorHAnsi"/>
          <w:noProof/>
          <w:szCs w:val="22"/>
          <w14:ligatures w14:val="standardContextual"/>
        </w:rPr>
      </w:pPr>
      <w:r>
        <w:fldChar w:fldCharType="begin"/>
      </w:r>
      <w:r>
        <w:instrText xml:space="preserve"> TOC \h \z \t "</w:instrText>
      </w:r>
      <w:r>
        <w:instrText>万联图表标题</w:instrText>
      </w:r>
      <w:r>
        <w:instrText xml:space="preserve">,9" </w:instrText>
      </w:r>
      <w:r>
        <w:fldChar w:fldCharType="separate"/>
      </w:r>
      <w:hyperlink w:anchor="_Toc163928351" w:history="1">
        <w:r w:rsidR="00CF4942" w:rsidRPr="0066738C">
          <w:rPr>
            <w:rStyle w:val="ae"/>
            <w:noProof/>
          </w:rPr>
          <w:t>图表</w:t>
        </w:r>
        <w:r w:rsidR="00CF4942" w:rsidRPr="0066738C">
          <w:rPr>
            <w:rStyle w:val="ae"/>
            <w:noProof/>
          </w:rPr>
          <w:t>1</w:t>
        </w:r>
        <w:r w:rsidR="00CF4942" w:rsidRPr="0066738C">
          <w:rPr>
            <w:rStyle w:val="ae"/>
            <w:noProof/>
          </w:rPr>
          <w:t>：</w:t>
        </w:r>
        <w:r w:rsidR="00CF4942" w:rsidRPr="0066738C">
          <w:rPr>
            <w:rStyle w:val="ae"/>
            <w:noProof/>
          </w:rPr>
          <w:t xml:space="preserve"> </w:t>
        </w:r>
        <w:r w:rsidR="00CF4942" w:rsidRPr="0066738C">
          <w:rPr>
            <w:rStyle w:val="ae"/>
            <w:noProof/>
          </w:rPr>
          <w:t>资本市场三次</w:t>
        </w:r>
        <w:r w:rsidR="00CF4942" w:rsidRPr="0066738C">
          <w:rPr>
            <w:rStyle w:val="ae"/>
            <w:noProof/>
          </w:rPr>
          <w:t>“</w:t>
        </w:r>
        <w:r w:rsidR="00CF4942" w:rsidRPr="0066738C">
          <w:rPr>
            <w:rStyle w:val="ae"/>
            <w:noProof/>
          </w:rPr>
          <w:t>国九条</w:t>
        </w:r>
        <w:r w:rsidR="00CF4942" w:rsidRPr="0066738C">
          <w:rPr>
            <w:rStyle w:val="ae"/>
            <w:noProof/>
          </w:rPr>
          <w:t>”</w:t>
        </w:r>
        <w:r w:rsidR="00CF4942" w:rsidRPr="0066738C">
          <w:rPr>
            <w:rStyle w:val="ae"/>
            <w:noProof/>
          </w:rPr>
          <w:t>内容对比</w:t>
        </w:r>
        <w:r w:rsidR="00CF4942">
          <w:rPr>
            <w:noProof/>
            <w:webHidden/>
          </w:rPr>
          <w:tab/>
        </w:r>
        <w:r w:rsidR="00CF4942">
          <w:rPr>
            <w:noProof/>
            <w:webHidden/>
          </w:rPr>
          <w:fldChar w:fldCharType="begin"/>
        </w:r>
        <w:r w:rsidR="00CF4942">
          <w:rPr>
            <w:noProof/>
            <w:webHidden/>
          </w:rPr>
          <w:instrText xml:space="preserve"> PAGEREF _Toc163928351 \h </w:instrText>
        </w:r>
        <w:r w:rsidR="00CF4942">
          <w:rPr>
            <w:noProof/>
            <w:webHidden/>
          </w:rPr>
        </w:r>
        <w:r w:rsidR="00CF4942">
          <w:rPr>
            <w:noProof/>
            <w:webHidden/>
          </w:rPr>
          <w:fldChar w:fldCharType="separate"/>
        </w:r>
        <w:r w:rsidR="00B830C4">
          <w:rPr>
            <w:noProof/>
            <w:webHidden/>
          </w:rPr>
          <w:t>4</w:t>
        </w:r>
        <w:r w:rsidR="00CF4942">
          <w:rPr>
            <w:noProof/>
            <w:webHidden/>
          </w:rPr>
          <w:fldChar w:fldCharType="end"/>
        </w:r>
      </w:hyperlink>
    </w:p>
    <w:p w14:paraId="119A71D9" w14:textId="0445D509" w:rsidR="00CF4942" w:rsidRDefault="00CF4942">
      <w:pPr>
        <w:pStyle w:val="TOC9"/>
        <w:tabs>
          <w:tab w:val="right" w:leader="dot" w:pos="10194"/>
        </w:tabs>
        <w:ind w:left="2520"/>
        <w:rPr>
          <w:rFonts w:asciiTheme="minorHAnsi" w:eastAsiaTheme="minorEastAsia" w:hAnsiTheme="minorHAnsi"/>
          <w:noProof/>
          <w:szCs w:val="22"/>
          <w14:ligatures w14:val="standardContextual"/>
        </w:rPr>
      </w:pPr>
      <w:hyperlink w:anchor="_Toc163928352" w:history="1">
        <w:r w:rsidRPr="0066738C">
          <w:rPr>
            <w:rStyle w:val="ae"/>
            <w:noProof/>
          </w:rPr>
          <w:t>图表</w:t>
        </w:r>
        <w:r w:rsidRPr="0066738C">
          <w:rPr>
            <w:rStyle w:val="ae"/>
            <w:noProof/>
          </w:rPr>
          <w:t>2</w:t>
        </w:r>
        <w:r w:rsidRPr="0066738C">
          <w:rPr>
            <w:rStyle w:val="ae"/>
            <w:noProof/>
          </w:rPr>
          <w:t>：</w:t>
        </w:r>
        <w:r w:rsidRPr="0066738C">
          <w:rPr>
            <w:rStyle w:val="ae"/>
            <w:noProof/>
          </w:rPr>
          <w:t xml:space="preserve"> </w:t>
        </w:r>
        <w:r w:rsidRPr="0066738C">
          <w:rPr>
            <w:rStyle w:val="ae"/>
            <w:noProof/>
          </w:rPr>
          <w:t>主板、创业板、科创板新上市标准概览</w:t>
        </w:r>
        <w:r>
          <w:rPr>
            <w:noProof/>
            <w:webHidden/>
          </w:rPr>
          <w:tab/>
        </w:r>
        <w:r>
          <w:rPr>
            <w:noProof/>
            <w:webHidden/>
          </w:rPr>
          <w:fldChar w:fldCharType="begin"/>
        </w:r>
        <w:r>
          <w:rPr>
            <w:noProof/>
            <w:webHidden/>
          </w:rPr>
          <w:instrText xml:space="preserve"> PAGEREF _Toc163928352 \h </w:instrText>
        </w:r>
        <w:r>
          <w:rPr>
            <w:noProof/>
            <w:webHidden/>
          </w:rPr>
        </w:r>
        <w:r>
          <w:rPr>
            <w:noProof/>
            <w:webHidden/>
          </w:rPr>
          <w:fldChar w:fldCharType="separate"/>
        </w:r>
        <w:r w:rsidR="00B830C4">
          <w:rPr>
            <w:noProof/>
            <w:webHidden/>
          </w:rPr>
          <w:t>5</w:t>
        </w:r>
        <w:r>
          <w:rPr>
            <w:noProof/>
            <w:webHidden/>
          </w:rPr>
          <w:fldChar w:fldCharType="end"/>
        </w:r>
      </w:hyperlink>
    </w:p>
    <w:p w14:paraId="6D0E4FA5" w14:textId="5B03F455" w:rsidR="00CF4942" w:rsidRDefault="00CF4942">
      <w:pPr>
        <w:pStyle w:val="TOC9"/>
        <w:tabs>
          <w:tab w:val="right" w:leader="dot" w:pos="10194"/>
        </w:tabs>
        <w:ind w:left="2520"/>
        <w:rPr>
          <w:rFonts w:asciiTheme="minorHAnsi" w:eastAsiaTheme="minorEastAsia" w:hAnsiTheme="minorHAnsi"/>
          <w:noProof/>
          <w:szCs w:val="22"/>
          <w14:ligatures w14:val="standardContextual"/>
        </w:rPr>
      </w:pPr>
      <w:hyperlink w:anchor="_Toc163928353" w:history="1">
        <w:r w:rsidRPr="0066738C">
          <w:rPr>
            <w:rStyle w:val="ae"/>
            <w:noProof/>
          </w:rPr>
          <w:t>图表</w:t>
        </w:r>
        <w:r w:rsidRPr="0066738C">
          <w:rPr>
            <w:rStyle w:val="ae"/>
            <w:noProof/>
          </w:rPr>
          <w:t>3</w:t>
        </w:r>
        <w:r w:rsidRPr="0066738C">
          <w:rPr>
            <w:rStyle w:val="ae"/>
            <w:noProof/>
          </w:rPr>
          <w:t>：</w:t>
        </w:r>
        <w:r w:rsidRPr="0066738C">
          <w:rPr>
            <w:rStyle w:val="ae"/>
            <w:noProof/>
          </w:rPr>
          <w:t xml:space="preserve"> 2024</w:t>
        </w:r>
        <w:r w:rsidRPr="0066738C">
          <w:rPr>
            <w:rStyle w:val="ae"/>
            <w:noProof/>
          </w:rPr>
          <w:t>年以来</w:t>
        </w:r>
        <w:r w:rsidRPr="0066738C">
          <w:rPr>
            <w:rStyle w:val="ae"/>
            <w:noProof/>
          </w:rPr>
          <w:t>A</w:t>
        </w:r>
        <w:r w:rsidRPr="0066738C">
          <w:rPr>
            <w:rStyle w:val="ae"/>
            <w:noProof/>
          </w:rPr>
          <w:t>股退市上市公司概览</w:t>
        </w:r>
        <w:r>
          <w:rPr>
            <w:noProof/>
            <w:webHidden/>
          </w:rPr>
          <w:tab/>
        </w:r>
        <w:r>
          <w:rPr>
            <w:noProof/>
            <w:webHidden/>
          </w:rPr>
          <w:fldChar w:fldCharType="begin"/>
        </w:r>
        <w:r>
          <w:rPr>
            <w:noProof/>
            <w:webHidden/>
          </w:rPr>
          <w:instrText xml:space="preserve"> PAGEREF _Toc163928353 \h </w:instrText>
        </w:r>
        <w:r>
          <w:rPr>
            <w:noProof/>
            <w:webHidden/>
          </w:rPr>
        </w:r>
        <w:r>
          <w:rPr>
            <w:noProof/>
            <w:webHidden/>
          </w:rPr>
          <w:fldChar w:fldCharType="separate"/>
        </w:r>
        <w:r w:rsidR="00B830C4">
          <w:rPr>
            <w:noProof/>
            <w:webHidden/>
          </w:rPr>
          <w:t>8</w:t>
        </w:r>
        <w:r>
          <w:rPr>
            <w:noProof/>
            <w:webHidden/>
          </w:rPr>
          <w:fldChar w:fldCharType="end"/>
        </w:r>
      </w:hyperlink>
    </w:p>
    <w:p w14:paraId="7C17231F" w14:textId="59126786" w:rsidR="003B0AB9" w:rsidRPr="001442CB" w:rsidRDefault="003B0AB9" w:rsidP="003B0AB9">
      <w:pPr>
        <w:pStyle w:val="a7"/>
        <w:spacing w:before="156" w:after="156"/>
        <w:ind w:left="2520"/>
      </w:pPr>
      <w:r>
        <w:fldChar w:fldCharType="end"/>
      </w:r>
    </w:p>
    <w:p w14:paraId="1EAB6442" w14:textId="77777777" w:rsidR="003B0AB9" w:rsidRPr="001442CB" w:rsidRDefault="003B0AB9" w:rsidP="003B0AB9">
      <w:pPr>
        <w:pStyle w:val="a7"/>
        <w:spacing w:before="156" w:after="156" w:line="14" w:lineRule="exact"/>
        <w:ind w:left="2520"/>
      </w:pPr>
    </w:p>
    <w:p w14:paraId="30320587" w14:textId="77777777" w:rsidR="003B0AB9" w:rsidRPr="001442CB" w:rsidRDefault="003B0AB9" w:rsidP="003B0AB9">
      <w:pPr>
        <w:pStyle w:val="a7"/>
        <w:spacing w:before="156" w:after="156" w:line="14" w:lineRule="exact"/>
        <w:ind w:leftChars="571" w:left="1199"/>
        <w:rPr>
          <w:b/>
          <w:bCs/>
          <w:sz w:val="28"/>
          <w:szCs w:val="28"/>
        </w:rPr>
        <w:sectPr w:rsidR="003B0AB9" w:rsidRPr="001442CB" w:rsidSect="00097663">
          <w:pgSz w:w="11906" w:h="16838"/>
          <w:pgMar w:top="709" w:right="851" w:bottom="851" w:left="851" w:header="283" w:footer="283" w:gutter="0"/>
          <w:cols w:space="425"/>
          <w:docGrid w:type="lines" w:linePitch="312"/>
        </w:sectPr>
      </w:pPr>
    </w:p>
    <w:p w14:paraId="0A0AE5D0" w14:textId="5EF1639D" w:rsidR="003B0AB9" w:rsidRPr="004E22DB" w:rsidRDefault="006829F1" w:rsidP="003B0AB9">
      <w:pPr>
        <w:pStyle w:val="a"/>
      </w:pPr>
      <w:bookmarkStart w:id="10" w:name="_Toc59729912"/>
      <w:bookmarkStart w:id="11" w:name="_Toc59730069"/>
      <w:bookmarkStart w:id="12" w:name="_Toc59793252"/>
      <w:bookmarkStart w:id="13" w:name="_Toc163928342"/>
      <w:r>
        <w:rPr>
          <w:rFonts w:hint="eastAsia"/>
        </w:rPr>
        <w:lastRenderedPageBreak/>
        <w:t>资本市场迎来新“国九条”</w:t>
      </w:r>
      <w:bookmarkEnd w:id="10"/>
      <w:bookmarkEnd w:id="11"/>
      <w:bookmarkEnd w:id="12"/>
      <w:bookmarkEnd w:id="13"/>
    </w:p>
    <w:p w14:paraId="7099BCD1" w14:textId="77777777" w:rsidR="00EF0224" w:rsidRDefault="00BC327F" w:rsidP="00BC327F">
      <w:pPr>
        <w:pStyle w:val="a7"/>
        <w:spacing w:before="156" w:after="156"/>
        <w:ind w:left="2520"/>
        <w:rPr>
          <w:color w:val="000000" w:themeColor="text1"/>
        </w:rPr>
      </w:pPr>
      <w:r w:rsidRPr="00BC327F">
        <w:rPr>
          <w:rFonts w:hint="eastAsia"/>
          <w:color w:val="000000" w:themeColor="text1"/>
        </w:rPr>
        <w:t>日前国务院印发《关于加强监管防范风险推动资本市场高质量发展的若干意见》。此次意见是继</w:t>
      </w:r>
      <w:r w:rsidRPr="00BC327F">
        <w:rPr>
          <w:color w:val="000000" w:themeColor="text1"/>
        </w:rPr>
        <w:t>2004</w:t>
      </w:r>
      <w:r w:rsidRPr="00BC327F">
        <w:rPr>
          <w:rFonts w:hint="eastAsia"/>
          <w:color w:val="000000" w:themeColor="text1"/>
        </w:rPr>
        <w:t>年、</w:t>
      </w:r>
      <w:r w:rsidRPr="00BC327F">
        <w:rPr>
          <w:color w:val="000000" w:themeColor="text1"/>
        </w:rPr>
        <w:t>2014</w:t>
      </w:r>
      <w:r w:rsidRPr="00BC327F">
        <w:rPr>
          <w:rFonts w:hint="eastAsia"/>
          <w:color w:val="000000" w:themeColor="text1"/>
        </w:rPr>
        <w:t>年两个“国九条”之后，时隔</w:t>
      </w:r>
      <w:r w:rsidRPr="00BC327F">
        <w:rPr>
          <w:color w:val="000000" w:themeColor="text1"/>
        </w:rPr>
        <w:t>10</w:t>
      </w:r>
      <w:r w:rsidRPr="00BC327F">
        <w:rPr>
          <w:rFonts w:hint="eastAsia"/>
          <w:color w:val="000000" w:themeColor="text1"/>
        </w:rPr>
        <w:t>年国务院再次出台的资本市场指导性文件。这次出台的意见共</w:t>
      </w:r>
      <w:r w:rsidRPr="00BC327F">
        <w:rPr>
          <w:color w:val="000000" w:themeColor="text1"/>
        </w:rPr>
        <w:t>9</w:t>
      </w:r>
      <w:r w:rsidRPr="00BC327F">
        <w:rPr>
          <w:rFonts w:hint="eastAsia"/>
          <w:color w:val="000000" w:themeColor="text1"/>
        </w:rPr>
        <w:t>个部分，</w:t>
      </w:r>
      <w:r w:rsidR="00DD73CE" w:rsidRPr="00DD73CE">
        <w:rPr>
          <w:rFonts w:hint="eastAsia"/>
          <w:color w:val="000000" w:themeColor="text1"/>
        </w:rPr>
        <w:t>以强监管、防风险、</w:t>
      </w:r>
      <w:r w:rsidR="00DD73CE">
        <w:rPr>
          <w:rFonts w:hint="eastAsia"/>
          <w:color w:val="000000" w:themeColor="text1"/>
        </w:rPr>
        <w:t>保护中小投资者利益、</w:t>
      </w:r>
      <w:r w:rsidR="00DD73CE" w:rsidRPr="00DD73CE">
        <w:rPr>
          <w:rFonts w:hint="eastAsia"/>
          <w:color w:val="000000" w:themeColor="text1"/>
        </w:rPr>
        <w:t>促高质量发展为主线，以完善资本市场基础制度为重点</w:t>
      </w:r>
      <w:r w:rsidR="00DD73CE">
        <w:rPr>
          <w:rFonts w:hint="eastAsia"/>
          <w:color w:val="000000" w:themeColor="text1"/>
        </w:rPr>
        <w:t>，</w:t>
      </w:r>
      <w:r w:rsidR="00DD73CE" w:rsidRPr="00DD73CE">
        <w:rPr>
          <w:rFonts w:hint="eastAsia"/>
          <w:color w:val="000000" w:themeColor="text1"/>
        </w:rPr>
        <w:t>更好发挥资本市场功能作用，推进金融强国建设，服务中国式现代化大局</w:t>
      </w:r>
      <w:r w:rsidRPr="00BC327F">
        <w:rPr>
          <w:rFonts w:hint="eastAsia"/>
          <w:color w:val="000000" w:themeColor="text1"/>
        </w:rPr>
        <w:t>。</w:t>
      </w:r>
    </w:p>
    <w:p w14:paraId="48574FE7" w14:textId="622A9F19" w:rsidR="00BC327F" w:rsidRDefault="00EF0224" w:rsidP="00BC327F">
      <w:pPr>
        <w:pStyle w:val="a7"/>
        <w:spacing w:before="156" w:after="156"/>
        <w:ind w:left="2520"/>
        <w:rPr>
          <w:color w:val="000000" w:themeColor="text1"/>
        </w:rPr>
      </w:pPr>
      <w:r w:rsidRPr="00EF0224">
        <w:rPr>
          <w:rFonts w:hint="eastAsia"/>
          <w:color w:val="000000" w:themeColor="text1"/>
        </w:rPr>
        <w:t>4月12日证监会、沪深交易所同步发布若干配套制度规则公开征求意见。</w:t>
      </w:r>
      <w:r>
        <w:rPr>
          <w:rFonts w:hint="eastAsia"/>
          <w:color w:val="000000" w:themeColor="text1"/>
        </w:rPr>
        <w:t>证监会主席吴清表示，</w:t>
      </w:r>
      <w:r w:rsidRPr="00EF0224">
        <w:rPr>
          <w:rFonts w:hint="eastAsia"/>
          <w:color w:val="000000" w:themeColor="text1"/>
        </w:rPr>
        <w:t>新“国九条”坚持系统思维、远近结合、综合施策，与证监会会同相关方面组织实施的落实安排，将共同形成“1+N”政策体系。</w:t>
      </w:r>
    </w:p>
    <w:tbl>
      <w:tblPr>
        <w:tblStyle w:val="a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F0F05" w14:paraId="56F32EEF" w14:textId="77777777" w:rsidTr="00EF0F05">
        <w:trPr>
          <w:trHeight w:val="283"/>
          <w:jc w:val="center"/>
        </w:trPr>
        <w:tc>
          <w:tcPr>
            <w:tcW w:w="10205" w:type="dxa"/>
            <w:tcBorders>
              <w:top w:val="single" w:sz="12" w:space="0" w:color="auto"/>
              <w:bottom w:val="single" w:sz="12" w:space="0" w:color="auto"/>
            </w:tcBorders>
            <w:shd w:val="clear" w:color="auto" w:fill="auto"/>
          </w:tcPr>
          <w:p w14:paraId="14212773" w14:textId="57BAE7A6" w:rsidR="00EF0F05" w:rsidRPr="009B0CEB" w:rsidRDefault="00596991" w:rsidP="00A70D70">
            <w:pPr>
              <w:pStyle w:val="a2"/>
            </w:pPr>
            <w:bookmarkStart w:id="14" w:name="_Toc163928351"/>
            <w:r>
              <w:rPr>
                <w:rFonts w:hint="eastAsia"/>
              </w:rPr>
              <w:t>资本市场三次“国九条”内容对比</w:t>
            </w:r>
            <w:bookmarkEnd w:id="14"/>
          </w:p>
        </w:tc>
      </w:tr>
      <w:tr w:rsidR="00EF0F05" w14:paraId="547F50BB" w14:textId="77777777" w:rsidTr="00EF0F05">
        <w:trPr>
          <w:trHeight w:val="3402"/>
          <w:jc w:val="center"/>
        </w:trPr>
        <w:tc>
          <w:tcPr>
            <w:tcW w:w="10205" w:type="dxa"/>
            <w:tcBorders>
              <w:top w:val="single" w:sz="12" w:space="0" w:color="auto"/>
              <w:bottom w:val="single" w:sz="12" w:space="0" w:color="auto"/>
            </w:tcBorders>
            <w:shd w:val="clear" w:color="auto" w:fill="auto"/>
          </w:tcPr>
          <w:tbl>
            <w:tblPr>
              <w:tblStyle w:val="af7"/>
              <w:tblW w:w="0" w:type="auto"/>
              <w:tblLook w:val="04A0" w:firstRow="1" w:lastRow="0" w:firstColumn="1" w:lastColumn="0" w:noHBand="0" w:noVBand="1"/>
            </w:tblPr>
            <w:tblGrid>
              <w:gridCol w:w="1171"/>
              <w:gridCol w:w="2936"/>
              <w:gridCol w:w="2936"/>
              <w:gridCol w:w="2936"/>
            </w:tblGrid>
            <w:tr w:rsidR="00596991" w14:paraId="189C9BBE" w14:textId="77777777" w:rsidTr="0059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14:paraId="1FDEAC0C" w14:textId="77777777" w:rsidR="00596991" w:rsidRDefault="00596991" w:rsidP="00596991"/>
              </w:tc>
              <w:tc>
                <w:tcPr>
                  <w:tcW w:w="2936" w:type="dxa"/>
                </w:tcPr>
                <w:p w14:paraId="3C7B1B3B" w14:textId="164CE341" w:rsidR="00596991" w:rsidRDefault="00596991" w:rsidP="00596991">
                  <w:pPr>
                    <w:cnfStyle w:val="100000000000" w:firstRow="1" w:lastRow="0" w:firstColumn="0" w:lastColumn="0" w:oddVBand="0" w:evenVBand="0" w:oddHBand="0" w:evenHBand="0" w:firstRowFirstColumn="0" w:firstRowLastColumn="0" w:lastRowFirstColumn="0" w:lastRowLastColumn="0"/>
                  </w:pPr>
                  <w:r>
                    <w:rPr>
                      <w:rFonts w:hint="eastAsia"/>
                    </w:rPr>
                    <w:t>2004</w:t>
                  </w:r>
                  <w:r>
                    <w:rPr>
                      <w:rFonts w:hint="eastAsia"/>
                    </w:rPr>
                    <w:t>年</w:t>
                  </w:r>
                  <w:r>
                    <w:rPr>
                      <w:rFonts w:hint="eastAsia"/>
                    </w:rPr>
                    <w:t>1</w:t>
                  </w:r>
                  <w:r>
                    <w:rPr>
                      <w:rFonts w:hint="eastAsia"/>
                    </w:rPr>
                    <w:t>月</w:t>
                  </w:r>
                </w:p>
              </w:tc>
              <w:tc>
                <w:tcPr>
                  <w:tcW w:w="2936" w:type="dxa"/>
                </w:tcPr>
                <w:p w14:paraId="59D07C3A" w14:textId="5B563C1C" w:rsidR="00596991" w:rsidRDefault="00596991" w:rsidP="00596991">
                  <w:pPr>
                    <w:cnfStyle w:val="100000000000" w:firstRow="1" w:lastRow="0" w:firstColumn="0" w:lastColumn="0" w:oddVBand="0" w:evenVBand="0" w:oddHBand="0" w:evenHBand="0" w:firstRowFirstColumn="0" w:firstRowLastColumn="0" w:lastRowFirstColumn="0" w:lastRowLastColumn="0"/>
                  </w:pPr>
                  <w:r>
                    <w:rPr>
                      <w:rFonts w:hint="eastAsia"/>
                    </w:rPr>
                    <w:t>2014</w:t>
                  </w:r>
                  <w:r>
                    <w:rPr>
                      <w:rFonts w:hint="eastAsia"/>
                    </w:rPr>
                    <w:t>年</w:t>
                  </w:r>
                  <w:r>
                    <w:rPr>
                      <w:rFonts w:hint="eastAsia"/>
                    </w:rPr>
                    <w:t>5</w:t>
                  </w:r>
                  <w:r>
                    <w:rPr>
                      <w:rFonts w:hint="eastAsia"/>
                    </w:rPr>
                    <w:t>月</w:t>
                  </w:r>
                </w:p>
              </w:tc>
              <w:tc>
                <w:tcPr>
                  <w:tcW w:w="2936" w:type="dxa"/>
                </w:tcPr>
                <w:p w14:paraId="2E3A9616" w14:textId="4ADF6EF4" w:rsidR="00596991" w:rsidRDefault="00596991" w:rsidP="00596991">
                  <w:pPr>
                    <w:cnfStyle w:val="100000000000" w:firstRow="1" w:lastRow="0" w:firstColumn="0" w:lastColumn="0" w:oddVBand="0" w:evenVBand="0" w:oddHBand="0" w:evenHBand="0" w:firstRowFirstColumn="0" w:firstRowLastColumn="0" w:lastRowFirstColumn="0" w:lastRowLastColumn="0"/>
                  </w:pPr>
                  <w:r>
                    <w:rPr>
                      <w:rFonts w:hint="eastAsia"/>
                    </w:rPr>
                    <w:t>2024</w:t>
                  </w:r>
                  <w:r>
                    <w:rPr>
                      <w:rFonts w:hint="eastAsia"/>
                    </w:rPr>
                    <w:t>年</w:t>
                  </w:r>
                  <w:r>
                    <w:rPr>
                      <w:rFonts w:hint="eastAsia"/>
                    </w:rPr>
                    <w:t>4</w:t>
                  </w:r>
                  <w:r>
                    <w:rPr>
                      <w:rFonts w:hint="eastAsia"/>
                    </w:rPr>
                    <w:t>月</w:t>
                  </w:r>
                </w:p>
              </w:tc>
            </w:tr>
            <w:tr w:rsidR="00596991" w14:paraId="1351D34E" w14:textId="77777777" w:rsidTr="0098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4B0F8205" w14:textId="78B065F2" w:rsidR="00596991" w:rsidRDefault="00596991" w:rsidP="00EA4626">
                  <w:pPr>
                    <w:jc w:val="center"/>
                  </w:pPr>
                  <w:r>
                    <w:rPr>
                      <w:rFonts w:hint="eastAsia"/>
                    </w:rPr>
                    <w:t>第一条</w:t>
                  </w:r>
                </w:p>
              </w:tc>
              <w:tc>
                <w:tcPr>
                  <w:tcW w:w="2936" w:type="dxa"/>
                  <w:vAlign w:val="center"/>
                </w:tcPr>
                <w:p w14:paraId="2CFBC3EC" w14:textId="05B0CDE6"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2579CC">
                    <w:rPr>
                      <w:rFonts w:hint="eastAsia"/>
                    </w:rPr>
                    <w:t>充分认识大力发展资本市场的重要意义</w:t>
                  </w:r>
                </w:p>
              </w:tc>
              <w:tc>
                <w:tcPr>
                  <w:tcW w:w="2936" w:type="dxa"/>
                  <w:vAlign w:val="center"/>
                </w:tcPr>
                <w:p w14:paraId="519800DC" w14:textId="647D54AC"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4F76D9">
                    <w:rPr>
                      <w:rFonts w:hint="eastAsia"/>
                    </w:rPr>
                    <w:t>拓展市场，提高直接融资比重</w:t>
                  </w:r>
                </w:p>
              </w:tc>
              <w:tc>
                <w:tcPr>
                  <w:tcW w:w="2936" w:type="dxa"/>
                  <w:vAlign w:val="center"/>
                </w:tcPr>
                <w:p w14:paraId="4F65E6BD" w14:textId="5D48CC8D"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741D2B">
                    <w:rPr>
                      <w:rFonts w:hint="eastAsia"/>
                    </w:rPr>
                    <w:t>总体</w:t>
                  </w:r>
                  <w:r>
                    <w:rPr>
                      <w:rFonts w:hint="eastAsia"/>
                    </w:rPr>
                    <w:t>要求</w:t>
                  </w:r>
                  <w:r w:rsidRPr="00741D2B">
                    <w:t>:</w:t>
                  </w:r>
                  <w:r w:rsidRPr="00741D2B">
                    <w:t>明确未来</w:t>
                  </w:r>
                  <w:r w:rsidRPr="00741D2B">
                    <w:t>5-10</w:t>
                  </w:r>
                  <w:r w:rsidRPr="00741D2B">
                    <w:t>年资本市场任务</w:t>
                  </w:r>
                </w:p>
              </w:tc>
            </w:tr>
            <w:tr w:rsidR="00596991" w14:paraId="73FA80CF" w14:textId="77777777" w:rsidTr="0098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06B3C522" w14:textId="3725F4AD" w:rsidR="00596991" w:rsidRDefault="00596991" w:rsidP="00EA4626">
                  <w:pPr>
                    <w:jc w:val="center"/>
                  </w:pPr>
                  <w:r>
                    <w:rPr>
                      <w:rFonts w:hint="eastAsia"/>
                    </w:rPr>
                    <w:t>第二条</w:t>
                  </w:r>
                </w:p>
              </w:tc>
              <w:tc>
                <w:tcPr>
                  <w:tcW w:w="2936" w:type="dxa"/>
                  <w:vAlign w:val="center"/>
                </w:tcPr>
                <w:p w14:paraId="399E5EB4" w14:textId="6AD7A706"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2579CC">
                    <w:rPr>
                      <w:rFonts w:hint="eastAsia"/>
                    </w:rPr>
                    <w:t>推进资本市场改革开放和稳定发展的指导思想和任务</w:t>
                  </w:r>
                </w:p>
              </w:tc>
              <w:tc>
                <w:tcPr>
                  <w:tcW w:w="2936" w:type="dxa"/>
                  <w:vAlign w:val="center"/>
                </w:tcPr>
                <w:p w14:paraId="0BA3DF75" w14:textId="372631E3"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4F76D9">
                    <w:rPr>
                      <w:rFonts w:hint="eastAsia"/>
                    </w:rPr>
                    <w:t>发展多层次股票市场</w:t>
                  </w:r>
                </w:p>
              </w:tc>
              <w:tc>
                <w:tcPr>
                  <w:tcW w:w="2936" w:type="dxa"/>
                  <w:vAlign w:val="center"/>
                </w:tcPr>
                <w:p w14:paraId="28C04A98" w14:textId="67445707"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741D2B">
                    <w:rPr>
                      <w:rFonts w:hint="eastAsia"/>
                    </w:rPr>
                    <w:t>严把发行上市准入关</w:t>
                  </w:r>
                </w:p>
              </w:tc>
            </w:tr>
            <w:tr w:rsidR="00596991" w14:paraId="60DF47CC" w14:textId="77777777" w:rsidTr="0098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0A05C077" w14:textId="462863F1" w:rsidR="00596991" w:rsidRDefault="00596991" w:rsidP="00EA4626">
                  <w:pPr>
                    <w:jc w:val="center"/>
                  </w:pPr>
                  <w:r>
                    <w:rPr>
                      <w:rFonts w:hint="eastAsia"/>
                    </w:rPr>
                    <w:t>第三条</w:t>
                  </w:r>
                </w:p>
              </w:tc>
              <w:tc>
                <w:tcPr>
                  <w:tcW w:w="2936" w:type="dxa"/>
                  <w:vAlign w:val="center"/>
                </w:tcPr>
                <w:p w14:paraId="19B53A2C" w14:textId="6E2F9367"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2579CC">
                    <w:rPr>
                      <w:rFonts w:hint="eastAsia"/>
                    </w:rPr>
                    <w:t>进一步完善相关政策，促进资本市场稳定发展</w:t>
                  </w:r>
                </w:p>
              </w:tc>
              <w:tc>
                <w:tcPr>
                  <w:tcW w:w="2936" w:type="dxa"/>
                  <w:vAlign w:val="center"/>
                </w:tcPr>
                <w:p w14:paraId="58857284" w14:textId="4F549E6A"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4F76D9">
                    <w:rPr>
                      <w:rFonts w:hint="eastAsia"/>
                    </w:rPr>
                    <w:t>规范发展债券市场</w:t>
                  </w:r>
                </w:p>
              </w:tc>
              <w:tc>
                <w:tcPr>
                  <w:tcW w:w="2936" w:type="dxa"/>
                  <w:vAlign w:val="center"/>
                </w:tcPr>
                <w:p w14:paraId="12870534" w14:textId="43CB8461"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741D2B">
                    <w:rPr>
                      <w:rFonts w:hint="eastAsia"/>
                    </w:rPr>
                    <w:t>严格上市公司持续监管</w:t>
                  </w:r>
                </w:p>
              </w:tc>
            </w:tr>
            <w:tr w:rsidR="00596991" w14:paraId="24341F8A" w14:textId="77777777" w:rsidTr="0098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4524075D" w14:textId="168EFF40" w:rsidR="00596991" w:rsidRDefault="00596991" w:rsidP="00EA4626">
                  <w:pPr>
                    <w:jc w:val="center"/>
                  </w:pPr>
                  <w:r>
                    <w:rPr>
                      <w:rFonts w:hint="eastAsia"/>
                    </w:rPr>
                    <w:t>第四条</w:t>
                  </w:r>
                </w:p>
              </w:tc>
              <w:tc>
                <w:tcPr>
                  <w:tcW w:w="2936" w:type="dxa"/>
                  <w:vAlign w:val="center"/>
                </w:tcPr>
                <w:p w14:paraId="123B6530" w14:textId="3236CAEF"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2579CC">
                    <w:rPr>
                      <w:rFonts w:hint="eastAsia"/>
                    </w:rPr>
                    <w:t>健全资本市场体系，丰富证券投资品种</w:t>
                  </w:r>
                </w:p>
              </w:tc>
              <w:tc>
                <w:tcPr>
                  <w:tcW w:w="2936" w:type="dxa"/>
                  <w:vAlign w:val="center"/>
                </w:tcPr>
                <w:p w14:paraId="0BA59338" w14:textId="7C4E3740"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4F76D9">
                    <w:rPr>
                      <w:rFonts w:hint="eastAsia"/>
                    </w:rPr>
                    <w:t>培育私募市场</w:t>
                  </w:r>
                </w:p>
              </w:tc>
              <w:tc>
                <w:tcPr>
                  <w:tcW w:w="2936" w:type="dxa"/>
                  <w:vAlign w:val="center"/>
                </w:tcPr>
                <w:p w14:paraId="6A0D8855" w14:textId="71A25919"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741D2B">
                    <w:rPr>
                      <w:rFonts w:hint="eastAsia"/>
                    </w:rPr>
                    <w:t>加大退市监管力度</w:t>
                  </w:r>
                </w:p>
              </w:tc>
            </w:tr>
            <w:tr w:rsidR="00596991" w14:paraId="36DDA822" w14:textId="77777777" w:rsidTr="0098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7EAAB1DE" w14:textId="06E306E8" w:rsidR="00596991" w:rsidRDefault="00596991" w:rsidP="00EA4626">
                  <w:pPr>
                    <w:jc w:val="center"/>
                  </w:pPr>
                  <w:r>
                    <w:rPr>
                      <w:rFonts w:hint="eastAsia"/>
                    </w:rPr>
                    <w:t>第五条</w:t>
                  </w:r>
                </w:p>
              </w:tc>
              <w:tc>
                <w:tcPr>
                  <w:tcW w:w="2936" w:type="dxa"/>
                  <w:vAlign w:val="center"/>
                </w:tcPr>
                <w:p w14:paraId="75768F73" w14:textId="7B13F7AE"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2579CC">
                    <w:rPr>
                      <w:rFonts w:hint="eastAsia"/>
                    </w:rPr>
                    <w:t>进一步提高上市公司质量，推进上市公司规范运作</w:t>
                  </w:r>
                </w:p>
              </w:tc>
              <w:tc>
                <w:tcPr>
                  <w:tcW w:w="2936" w:type="dxa"/>
                  <w:vAlign w:val="center"/>
                </w:tcPr>
                <w:p w14:paraId="606A2E14" w14:textId="5FAA7DEC"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4F76D9">
                    <w:rPr>
                      <w:rFonts w:hint="eastAsia"/>
                    </w:rPr>
                    <w:t>推进期</w:t>
                  </w:r>
                  <w:r w:rsidRPr="00EA4626">
                    <w:rPr>
                      <w:rFonts w:hint="eastAsia"/>
                    </w:rPr>
                    <w:t>货市场建设</w:t>
                  </w:r>
                </w:p>
              </w:tc>
              <w:tc>
                <w:tcPr>
                  <w:tcW w:w="2936" w:type="dxa"/>
                  <w:vAlign w:val="center"/>
                </w:tcPr>
                <w:p w14:paraId="6476A67B" w14:textId="7C410871"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741D2B">
                    <w:rPr>
                      <w:rFonts w:hint="eastAsia"/>
                    </w:rPr>
                    <w:t>加强证券基金机构监管，推动行业回归本源、</w:t>
                  </w:r>
                  <w:proofErr w:type="gramStart"/>
                  <w:r w:rsidRPr="00741D2B">
                    <w:rPr>
                      <w:rFonts w:hint="eastAsia"/>
                    </w:rPr>
                    <w:t>做优做</w:t>
                  </w:r>
                  <w:proofErr w:type="gramEnd"/>
                  <w:r w:rsidRPr="00741D2B">
                    <w:rPr>
                      <w:rFonts w:hint="eastAsia"/>
                    </w:rPr>
                    <w:t>强</w:t>
                  </w:r>
                </w:p>
              </w:tc>
            </w:tr>
            <w:tr w:rsidR="00596991" w14:paraId="2DFE2213" w14:textId="77777777" w:rsidTr="0098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7087E5F5" w14:textId="4E8C9ECA" w:rsidR="00596991" w:rsidRDefault="00596991" w:rsidP="00EA4626">
                  <w:pPr>
                    <w:jc w:val="center"/>
                  </w:pPr>
                  <w:r>
                    <w:rPr>
                      <w:rFonts w:hint="eastAsia"/>
                    </w:rPr>
                    <w:t>第六条</w:t>
                  </w:r>
                </w:p>
              </w:tc>
              <w:tc>
                <w:tcPr>
                  <w:tcW w:w="2936" w:type="dxa"/>
                  <w:vAlign w:val="center"/>
                </w:tcPr>
                <w:p w14:paraId="288DDE64" w14:textId="4811CBA4"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2579CC">
                    <w:rPr>
                      <w:rFonts w:hint="eastAsia"/>
                    </w:rPr>
                    <w:t>促进资本市场中介服务机构规范发展，提高执业水平</w:t>
                  </w:r>
                </w:p>
              </w:tc>
              <w:tc>
                <w:tcPr>
                  <w:tcW w:w="2936" w:type="dxa"/>
                  <w:vAlign w:val="center"/>
                </w:tcPr>
                <w:p w14:paraId="65997BDE" w14:textId="2AADA153"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4F76D9">
                    <w:rPr>
                      <w:rFonts w:hint="eastAsia"/>
                    </w:rPr>
                    <w:t>提高证券期货服务业竞争力</w:t>
                  </w:r>
                </w:p>
              </w:tc>
              <w:tc>
                <w:tcPr>
                  <w:tcW w:w="2936" w:type="dxa"/>
                  <w:vAlign w:val="center"/>
                </w:tcPr>
                <w:p w14:paraId="4C31CFCF" w14:textId="65EDDAB3"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741D2B">
                    <w:rPr>
                      <w:rFonts w:hint="eastAsia"/>
                    </w:rPr>
                    <w:t>加强交易监管，增强资本市场内在稳定性</w:t>
                  </w:r>
                </w:p>
              </w:tc>
            </w:tr>
            <w:tr w:rsidR="00596991" w14:paraId="5919EE3D" w14:textId="77777777" w:rsidTr="0098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096DFFA2" w14:textId="03B4812E" w:rsidR="00596991" w:rsidRDefault="00596991" w:rsidP="00EA4626">
                  <w:pPr>
                    <w:jc w:val="center"/>
                  </w:pPr>
                  <w:r>
                    <w:rPr>
                      <w:rFonts w:hint="eastAsia"/>
                    </w:rPr>
                    <w:t>第七条</w:t>
                  </w:r>
                </w:p>
              </w:tc>
              <w:tc>
                <w:tcPr>
                  <w:tcW w:w="2936" w:type="dxa"/>
                  <w:vAlign w:val="center"/>
                </w:tcPr>
                <w:p w14:paraId="5BF49D53" w14:textId="6DBE2F1D"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2579CC">
                    <w:rPr>
                      <w:rFonts w:hint="eastAsia"/>
                    </w:rPr>
                    <w:t>加强法制和诚信建设，提高资本市场监管水平</w:t>
                  </w:r>
                </w:p>
              </w:tc>
              <w:tc>
                <w:tcPr>
                  <w:tcW w:w="2936" w:type="dxa"/>
                  <w:vAlign w:val="center"/>
                </w:tcPr>
                <w:p w14:paraId="52447130" w14:textId="6212B7C7"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4F76D9">
                    <w:rPr>
                      <w:rFonts w:hint="eastAsia"/>
                    </w:rPr>
                    <w:t>扩大资本市场开放</w:t>
                  </w:r>
                </w:p>
              </w:tc>
              <w:tc>
                <w:tcPr>
                  <w:tcW w:w="2936" w:type="dxa"/>
                  <w:vAlign w:val="center"/>
                </w:tcPr>
                <w:p w14:paraId="26B717D4" w14:textId="70EBE469"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741D2B">
                    <w:rPr>
                      <w:rFonts w:hint="eastAsia"/>
                    </w:rPr>
                    <w:t>大力推动中长期资金入市</w:t>
                  </w:r>
                </w:p>
              </w:tc>
            </w:tr>
            <w:tr w:rsidR="00596991" w14:paraId="05D49642" w14:textId="77777777" w:rsidTr="0098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52D58C46" w14:textId="3ECC745D" w:rsidR="00596991" w:rsidRDefault="00596991" w:rsidP="00EA4626">
                  <w:pPr>
                    <w:jc w:val="center"/>
                  </w:pPr>
                  <w:r>
                    <w:rPr>
                      <w:rFonts w:hint="eastAsia"/>
                    </w:rPr>
                    <w:t>第八条</w:t>
                  </w:r>
                </w:p>
              </w:tc>
              <w:tc>
                <w:tcPr>
                  <w:tcW w:w="2936" w:type="dxa"/>
                  <w:vAlign w:val="center"/>
                </w:tcPr>
                <w:p w14:paraId="65734BC5" w14:textId="342251E3"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2579CC">
                    <w:rPr>
                      <w:rFonts w:hint="eastAsia"/>
                    </w:rPr>
                    <w:t>加强协调配合，防范和化解市场风险</w:t>
                  </w:r>
                </w:p>
              </w:tc>
              <w:tc>
                <w:tcPr>
                  <w:tcW w:w="2936" w:type="dxa"/>
                  <w:vAlign w:val="center"/>
                </w:tcPr>
                <w:p w14:paraId="132EA574" w14:textId="03214A34"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4F76D9">
                    <w:rPr>
                      <w:rFonts w:hint="eastAsia"/>
                    </w:rPr>
                    <w:t>防范和化解金融风险</w:t>
                  </w:r>
                </w:p>
              </w:tc>
              <w:tc>
                <w:tcPr>
                  <w:tcW w:w="2936" w:type="dxa"/>
                  <w:vAlign w:val="center"/>
                </w:tcPr>
                <w:p w14:paraId="7F8E014B" w14:textId="24A672C1" w:rsidR="00596991" w:rsidRDefault="00596991" w:rsidP="009851F7">
                  <w:pPr>
                    <w:cnfStyle w:val="000000010000" w:firstRow="0" w:lastRow="0" w:firstColumn="0" w:lastColumn="0" w:oddVBand="0" w:evenVBand="0" w:oddHBand="0" w:evenHBand="1" w:firstRowFirstColumn="0" w:firstRowLastColumn="0" w:lastRowFirstColumn="0" w:lastRowLastColumn="0"/>
                  </w:pPr>
                  <w:r w:rsidRPr="00741D2B">
                    <w:rPr>
                      <w:rFonts w:hint="eastAsia"/>
                    </w:rPr>
                    <w:t>全面深化改革开放</w:t>
                  </w:r>
                </w:p>
              </w:tc>
            </w:tr>
            <w:tr w:rsidR="00596991" w14:paraId="42079A14" w14:textId="77777777" w:rsidTr="0098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479506C4" w14:textId="4498E588" w:rsidR="00596991" w:rsidRDefault="00596991" w:rsidP="00EA4626">
                  <w:pPr>
                    <w:jc w:val="center"/>
                  </w:pPr>
                  <w:r>
                    <w:rPr>
                      <w:rFonts w:hint="eastAsia"/>
                    </w:rPr>
                    <w:t>第九条</w:t>
                  </w:r>
                </w:p>
              </w:tc>
              <w:tc>
                <w:tcPr>
                  <w:tcW w:w="2936" w:type="dxa"/>
                  <w:vAlign w:val="center"/>
                </w:tcPr>
                <w:p w14:paraId="3B316E29" w14:textId="23AC501A"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2579CC">
                    <w:rPr>
                      <w:rFonts w:hint="eastAsia"/>
                    </w:rPr>
                    <w:t>认真总结经验，积极稳妥地推进对外开放</w:t>
                  </w:r>
                </w:p>
              </w:tc>
              <w:tc>
                <w:tcPr>
                  <w:tcW w:w="2936" w:type="dxa"/>
                  <w:vAlign w:val="center"/>
                </w:tcPr>
                <w:p w14:paraId="725BF661" w14:textId="2F285880"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4F76D9">
                    <w:rPr>
                      <w:rFonts w:hint="eastAsia"/>
                    </w:rPr>
                    <w:t>营造资本市场良好发展环境</w:t>
                  </w:r>
                </w:p>
              </w:tc>
              <w:tc>
                <w:tcPr>
                  <w:tcW w:w="2936" w:type="dxa"/>
                  <w:vAlign w:val="center"/>
                </w:tcPr>
                <w:p w14:paraId="4D07DF20" w14:textId="208D0B17" w:rsidR="00596991" w:rsidRDefault="00596991" w:rsidP="009851F7">
                  <w:pPr>
                    <w:cnfStyle w:val="000000100000" w:firstRow="0" w:lastRow="0" w:firstColumn="0" w:lastColumn="0" w:oddVBand="0" w:evenVBand="0" w:oddHBand="1" w:evenHBand="0" w:firstRowFirstColumn="0" w:firstRowLastColumn="0" w:lastRowFirstColumn="0" w:lastRowLastColumn="0"/>
                  </w:pPr>
                  <w:r w:rsidRPr="00741D2B">
                    <w:rPr>
                      <w:rFonts w:hint="eastAsia"/>
                    </w:rPr>
                    <w:t>推动形成促进资本市场高质量发展的合力</w:t>
                  </w:r>
                </w:p>
              </w:tc>
            </w:tr>
            <w:tr w:rsidR="00EA4626" w14:paraId="3CAAF708" w14:textId="77777777" w:rsidTr="00EA4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28628A57" w14:textId="29739FE9" w:rsidR="00EA4626" w:rsidRPr="00EA4626" w:rsidRDefault="00EA4626" w:rsidP="00EA4626">
                  <w:pPr>
                    <w:jc w:val="center"/>
                    <w:rPr>
                      <w:b/>
                      <w:bCs/>
                    </w:rPr>
                  </w:pPr>
                  <w:r w:rsidRPr="00EA4626">
                    <w:rPr>
                      <w:rFonts w:hint="eastAsia"/>
                      <w:b/>
                      <w:bCs/>
                    </w:rPr>
                    <w:t>核心</w:t>
                  </w:r>
                </w:p>
              </w:tc>
              <w:tc>
                <w:tcPr>
                  <w:tcW w:w="2936" w:type="dxa"/>
                  <w:vAlign w:val="center"/>
                </w:tcPr>
                <w:p w14:paraId="7B604722" w14:textId="5CB45861" w:rsidR="00EA4626" w:rsidRPr="00EA4626" w:rsidRDefault="00EA4626" w:rsidP="00EA4626">
                  <w:pPr>
                    <w:cnfStyle w:val="000000010000" w:firstRow="0" w:lastRow="0" w:firstColumn="0" w:lastColumn="0" w:oddVBand="0" w:evenVBand="0" w:oddHBand="0" w:evenHBand="1" w:firstRowFirstColumn="0" w:firstRowLastColumn="0" w:lastRowFirstColumn="0" w:lastRowLastColumn="0"/>
                    <w:rPr>
                      <w:b/>
                      <w:bCs/>
                    </w:rPr>
                  </w:pPr>
                  <w:r>
                    <w:rPr>
                      <w:rFonts w:hint="eastAsia"/>
                      <w:b/>
                      <w:bCs/>
                    </w:rPr>
                    <w:t>1</w:t>
                  </w:r>
                  <w:r>
                    <w:rPr>
                      <w:rFonts w:hint="eastAsia"/>
                      <w:b/>
                      <w:bCs/>
                    </w:rPr>
                    <w:t>、</w:t>
                  </w:r>
                  <w:r w:rsidRPr="00EA4626">
                    <w:rPr>
                      <w:rFonts w:hint="eastAsia"/>
                      <w:b/>
                      <w:bCs/>
                    </w:rPr>
                    <w:t>将发展资本市场提升到国家战略任务的高度</w:t>
                  </w:r>
                </w:p>
                <w:p w14:paraId="6761EFB7" w14:textId="1D2BAA15" w:rsidR="00EA4626" w:rsidRPr="002579CC" w:rsidRDefault="00EA4626" w:rsidP="00EA4626">
                  <w:pPr>
                    <w:cnfStyle w:val="000000010000" w:firstRow="0" w:lastRow="0" w:firstColumn="0" w:lastColumn="0" w:oddVBand="0" w:evenVBand="0" w:oddHBand="0" w:evenHBand="1" w:firstRowFirstColumn="0" w:firstRowLastColumn="0" w:lastRowFirstColumn="0" w:lastRowLastColumn="0"/>
                  </w:pPr>
                  <w:r>
                    <w:rPr>
                      <w:rFonts w:hint="eastAsia"/>
                      <w:b/>
                      <w:bCs/>
                    </w:rPr>
                    <w:t>2</w:t>
                  </w:r>
                  <w:r>
                    <w:rPr>
                      <w:rFonts w:hint="eastAsia"/>
                      <w:b/>
                      <w:bCs/>
                    </w:rPr>
                    <w:t>、启动</w:t>
                  </w:r>
                  <w:r w:rsidRPr="00EA4626">
                    <w:rPr>
                      <w:rFonts w:hint="eastAsia"/>
                      <w:b/>
                      <w:bCs/>
                    </w:rPr>
                    <w:t>新一轮股权分置改革</w:t>
                  </w:r>
                </w:p>
              </w:tc>
              <w:tc>
                <w:tcPr>
                  <w:tcW w:w="2936" w:type="dxa"/>
                  <w:vAlign w:val="center"/>
                </w:tcPr>
                <w:p w14:paraId="3045A5D4" w14:textId="77777777" w:rsidR="00EA4626" w:rsidRDefault="00EA4626" w:rsidP="00EA4626">
                  <w:pPr>
                    <w:cnfStyle w:val="000000010000" w:firstRow="0" w:lastRow="0" w:firstColumn="0" w:lastColumn="0" w:oddVBand="0" w:evenVBand="0" w:oddHBand="0" w:evenHBand="1" w:firstRowFirstColumn="0" w:firstRowLastColumn="0" w:lastRowFirstColumn="0" w:lastRowLastColumn="0"/>
                    <w:rPr>
                      <w:b/>
                      <w:bCs/>
                    </w:rPr>
                  </w:pPr>
                  <w:r>
                    <w:rPr>
                      <w:rFonts w:hint="eastAsia"/>
                      <w:b/>
                      <w:bCs/>
                    </w:rPr>
                    <w:t>1</w:t>
                  </w:r>
                  <w:r>
                    <w:rPr>
                      <w:rFonts w:hint="eastAsia"/>
                      <w:b/>
                      <w:bCs/>
                    </w:rPr>
                    <w:t>、</w:t>
                  </w:r>
                  <w:r w:rsidRPr="00EA4626">
                    <w:rPr>
                      <w:rFonts w:hint="eastAsia"/>
                      <w:b/>
                      <w:bCs/>
                    </w:rPr>
                    <w:t>释放改革红利、鼓励创新发展</w:t>
                  </w:r>
                </w:p>
                <w:p w14:paraId="33362BFA" w14:textId="46C7730B" w:rsidR="00EA4626" w:rsidRPr="00EA4626" w:rsidRDefault="00EA4626" w:rsidP="00EA4626">
                  <w:pPr>
                    <w:cnfStyle w:val="000000010000" w:firstRow="0" w:lastRow="0" w:firstColumn="0" w:lastColumn="0" w:oddVBand="0" w:evenVBand="0" w:oddHBand="0" w:evenHBand="1" w:firstRowFirstColumn="0" w:firstRowLastColumn="0" w:lastRowFirstColumn="0" w:lastRowLastColumn="0"/>
                    <w:rPr>
                      <w:b/>
                      <w:bCs/>
                    </w:rPr>
                  </w:pPr>
                  <w:r>
                    <w:rPr>
                      <w:rFonts w:hint="eastAsia"/>
                      <w:b/>
                      <w:bCs/>
                    </w:rPr>
                    <w:t>2</w:t>
                  </w:r>
                  <w:r>
                    <w:rPr>
                      <w:rFonts w:hint="eastAsia"/>
                      <w:b/>
                      <w:bCs/>
                    </w:rPr>
                    <w:t>、</w:t>
                  </w:r>
                  <w:r w:rsidRPr="00EA4626">
                    <w:rPr>
                      <w:rFonts w:hint="eastAsia"/>
                      <w:b/>
                      <w:bCs/>
                    </w:rPr>
                    <w:t>资本市场</w:t>
                  </w:r>
                  <w:r>
                    <w:rPr>
                      <w:rFonts w:hint="eastAsia"/>
                      <w:b/>
                      <w:bCs/>
                    </w:rPr>
                    <w:t>全方位</w:t>
                  </w:r>
                  <w:r w:rsidRPr="00EA4626">
                    <w:rPr>
                      <w:rFonts w:hint="eastAsia"/>
                      <w:b/>
                      <w:bCs/>
                    </w:rPr>
                    <w:t>顶层设计</w:t>
                  </w:r>
                </w:p>
              </w:tc>
              <w:tc>
                <w:tcPr>
                  <w:tcW w:w="2936" w:type="dxa"/>
                  <w:vAlign w:val="center"/>
                </w:tcPr>
                <w:p w14:paraId="38CDC443" w14:textId="157FC568" w:rsidR="00243F76" w:rsidRDefault="00243F76" w:rsidP="00EA4626">
                  <w:pPr>
                    <w:cnfStyle w:val="000000010000" w:firstRow="0" w:lastRow="0" w:firstColumn="0" w:lastColumn="0" w:oddVBand="0" w:evenVBand="0" w:oddHBand="0" w:evenHBand="1" w:firstRowFirstColumn="0" w:firstRowLastColumn="0" w:lastRowFirstColumn="0" w:lastRowLastColumn="0"/>
                    <w:rPr>
                      <w:b/>
                      <w:bCs/>
                    </w:rPr>
                  </w:pPr>
                  <w:r>
                    <w:rPr>
                      <w:rFonts w:hint="eastAsia"/>
                      <w:b/>
                      <w:bCs/>
                    </w:rPr>
                    <w:t>1</w:t>
                  </w:r>
                  <w:r>
                    <w:rPr>
                      <w:rFonts w:hint="eastAsia"/>
                      <w:b/>
                      <w:bCs/>
                    </w:rPr>
                    <w:t>、</w:t>
                  </w:r>
                  <w:r w:rsidR="00EA4626" w:rsidRPr="00EA4626">
                    <w:rPr>
                      <w:rFonts w:hint="eastAsia"/>
                      <w:b/>
                      <w:bCs/>
                    </w:rPr>
                    <w:t>加强监管、防范风险、</w:t>
                  </w:r>
                  <w:r>
                    <w:rPr>
                      <w:rFonts w:hint="eastAsia"/>
                      <w:b/>
                      <w:bCs/>
                    </w:rPr>
                    <w:t>保护中小投资者</w:t>
                  </w:r>
                </w:p>
                <w:p w14:paraId="4041F042" w14:textId="5896E068" w:rsidR="00EA4626" w:rsidRPr="00EA4626" w:rsidRDefault="00243F76" w:rsidP="00EA4626">
                  <w:pPr>
                    <w:cnfStyle w:val="000000010000" w:firstRow="0" w:lastRow="0" w:firstColumn="0" w:lastColumn="0" w:oddVBand="0" w:evenVBand="0" w:oddHBand="0" w:evenHBand="1" w:firstRowFirstColumn="0" w:firstRowLastColumn="0" w:lastRowFirstColumn="0" w:lastRowLastColumn="0"/>
                    <w:rPr>
                      <w:b/>
                      <w:bCs/>
                    </w:rPr>
                  </w:pPr>
                  <w:r>
                    <w:rPr>
                      <w:rFonts w:hint="eastAsia"/>
                      <w:b/>
                      <w:bCs/>
                    </w:rPr>
                    <w:t>2</w:t>
                  </w:r>
                  <w:r>
                    <w:rPr>
                      <w:rFonts w:hint="eastAsia"/>
                      <w:b/>
                      <w:bCs/>
                    </w:rPr>
                    <w:t>、</w:t>
                  </w:r>
                  <w:r w:rsidR="00EA4626" w:rsidRPr="00EA4626">
                    <w:rPr>
                      <w:rFonts w:hint="eastAsia"/>
                      <w:b/>
                      <w:bCs/>
                    </w:rPr>
                    <w:t>推动</w:t>
                  </w:r>
                  <w:r w:rsidR="00EA4626">
                    <w:rPr>
                      <w:rFonts w:hint="eastAsia"/>
                      <w:b/>
                      <w:bCs/>
                    </w:rPr>
                    <w:t>资本市场</w:t>
                  </w:r>
                  <w:r w:rsidR="00EA4626" w:rsidRPr="00EA4626">
                    <w:rPr>
                      <w:rFonts w:hint="eastAsia"/>
                      <w:b/>
                      <w:bCs/>
                    </w:rPr>
                    <w:t>高质量发展</w:t>
                  </w:r>
                </w:p>
              </w:tc>
            </w:tr>
          </w:tbl>
          <w:p w14:paraId="4A5C5D97" w14:textId="3C8B3E48" w:rsidR="00EF0F05" w:rsidRDefault="00EF0F05" w:rsidP="00A70D70">
            <w:pPr>
              <w:tabs>
                <w:tab w:val="left" w:pos="720"/>
              </w:tabs>
              <w:autoSpaceDE w:val="0"/>
              <w:autoSpaceDN w:val="0"/>
              <w:adjustRightInd w:val="0"/>
              <w:ind w:right="18"/>
              <w:jc w:val="left"/>
              <w:outlineLvl w:val="0"/>
              <w:rPr>
                <w:rFonts w:ascii="楷体" w:eastAsia="楷体" w:hAnsi="楷体"/>
                <w:color w:val="800000"/>
                <w:sz w:val="24"/>
              </w:rPr>
            </w:pPr>
          </w:p>
        </w:tc>
      </w:tr>
      <w:tr w:rsidR="00EF0F05" w14:paraId="51099339" w14:textId="77777777" w:rsidTr="00EF0F05">
        <w:trPr>
          <w:trHeight w:val="283"/>
          <w:jc w:val="center"/>
        </w:trPr>
        <w:tc>
          <w:tcPr>
            <w:tcW w:w="10205" w:type="dxa"/>
            <w:tcBorders>
              <w:top w:val="single" w:sz="12" w:space="0" w:color="auto"/>
            </w:tcBorders>
            <w:shd w:val="clear" w:color="auto" w:fill="auto"/>
          </w:tcPr>
          <w:p w14:paraId="1265169C" w14:textId="2B2C4459" w:rsidR="00EF0F05" w:rsidRDefault="00EF0F05" w:rsidP="00A70D70">
            <w:pPr>
              <w:tabs>
                <w:tab w:val="left" w:pos="720"/>
              </w:tabs>
              <w:autoSpaceDE w:val="0"/>
              <w:autoSpaceDN w:val="0"/>
              <w:adjustRightInd w:val="0"/>
              <w:ind w:right="18"/>
              <w:jc w:val="left"/>
              <w:rPr>
                <w:rFonts w:ascii="楷体_GB2312" w:eastAsia="楷体_GB2312" w:hAnsi="楷体"/>
                <w:i/>
                <w:color w:val="000000"/>
                <w:sz w:val="18"/>
                <w:szCs w:val="18"/>
              </w:rPr>
            </w:pPr>
            <w:r w:rsidRPr="00FA41D0">
              <w:rPr>
                <w:rFonts w:ascii="楷体_GB2312" w:eastAsia="楷体_GB2312" w:hAnsi="楷体" w:hint="eastAsia"/>
                <w:i/>
                <w:color w:val="000000"/>
                <w:sz w:val="18"/>
                <w:szCs w:val="18"/>
              </w:rPr>
              <w:t>资料来源：</w:t>
            </w:r>
            <w:r w:rsidR="00596991">
              <w:rPr>
                <w:rFonts w:ascii="楷体_GB2312" w:eastAsia="楷体_GB2312" w:hAnsi="楷体" w:hint="eastAsia"/>
                <w:i/>
                <w:color w:val="000000"/>
                <w:sz w:val="18"/>
                <w:szCs w:val="18"/>
              </w:rPr>
              <w:t>中国政府网</w:t>
            </w:r>
            <w:r>
              <w:rPr>
                <w:rFonts w:ascii="楷体_GB2312" w:eastAsia="楷体_GB2312" w:hAnsi="楷体" w:hint="eastAsia"/>
                <w:i/>
                <w:color w:val="000000"/>
                <w:sz w:val="18"/>
                <w:szCs w:val="18"/>
              </w:rPr>
              <w:t>、</w:t>
            </w:r>
            <w:r w:rsidRPr="00FA41D0">
              <w:rPr>
                <w:rFonts w:ascii="楷体_GB2312" w:eastAsia="楷体_GB2312" w:hAnsi="楷体" w:hint="eastAsia"/>
                <w:i/>
                <w:color w:val="000000"/>
                <w:sz w:val="18"/>
                <w:szCs w:val="18"/>
              </w:rPr>
              <w:t>万联证券研究所</w:t>
            </w:r>
            <w:r w:rsidR="00596991">
              <w:rPr>
                <w:rFonts w:ascii="楷体_GB2312" w:eastAsia="楷体_GB2312" w:hAnsi="楷体" w:hint="eastAsia"/>
                <w:i/>
                <w:color w:val="000000"/>
                <w:sz w:val="18"/>
                <w:szCs w:val="18"/>
              </w:rPr>
              <w:t>整理</w:t>
            </w:r>
          </w:p>
          <w:p w14:paraId="4B21215C" w14:textId="77777777" w:rsidR="00EF0F05" w:rsidRPr="00FA41D0" w:rsidRDefault="00EF0F05" w:rsidP="00A70D70">
            <w:pPr>
              <w:tabs>
                <w:tab w:val="left" w:pos="720"/>
              </w:tabs>
              <w:autoSpaceDE w:val="0"/>
              <w:autoSpaceDN w:val="0"/>
              <w:adjustRightInd w:val="0"/>
              <w:ind w:right="18"/>
              <w:jc w:val="left"/>
              <w:rPr>
                <w:rFonts w:ascii="楷体_GB2312" w:eastAsia="楷体_GB2312" w:hAnsi="楷体"/>
                <w:i/>
                <w:color w:val="000000"/>
                <w:sz w:val="18"/>
                <w:szCs w:val="18"/>
              </w:rPr>
            </w:pPr>
          </w:p>
        </w:tc>
      </w:tr>
    </w:tbl>
    <w:p w14:paraId="030624CC" w14:textId="011969C4" w:rsidR="0068195A" w:rsidRDefault="00BC327F" w:rsidP="00BC327F">
      <w:pPr>
        <w:pStyle w:val="a7"/>
        <w:spacing w:before="156" w:after="156"/>
        <w:ind w:left="2520"/>
        <w:rPr>
          <w:b/>
          <w:bCs/>
          <w:color w:val="000000" w:themeColor="text1"/>
        </w:rPr>
      </w:pPr>
      <w:r w:rsidRPr="00BC327F">
        <w:rPr>
          <w:rFonts w:hint="eastAsia"/>
          <w:color w:val="000000" w:themeColor="text1"/>
        </w:rPr>
        <w:t>新“国九条”有三大清晰特点</w:t>
      </w:r>
      <w:r w:rsidR="0068195A">
        <w:rPr>
          <w:rFonts w:hint="eastAsia"/>
          <w:color w:val="000000" w:themeColor="text1"/>
        </w:rPr>
        <w:t>。</w:t>
      </w:r>
      <w:r w:rsidR="008D373E">
        <w:rPr>
          <w:rFonts w:hint="eastAsia"/>
          <w:color w:val="000000" w:themeColor="text1"/>
        </w:rPr>
        <w:t>证监会</w:t>
      </w:r>
      <w:r w:rsidRPr="00BC327F">
        <w:rPr>
          <w:rFonts w:hint="eastAsia"/>
          <w:color w:val="000000" w:themeColor="text1"/>
        </w:rPr>
        <w:t>主席</w:t>
      </w:r>
      <w:r w:rsidR="008D373E" w:rsidRPr="00BC327F">
        <w:rPr>
          <w:rFonts w:hint="eastAsia"/>
          <w:color w:val="000000" w:themeColor="text1"/>
        </w:rPr>
        <w:t>吴清</w:t>
      </w:r>
      <w:r w:rsidR="008D373E">
        <w:rPr>
          <w:rFonts w:hint="eastAsia"/>
          <w:color w:val="000000" w:themeColor="text1"/>
        </w:rPr>
        <w:t>接受采访</w:t>
      </w:r>
      <w:r w:rsidRPr="00BC327F">
        <w:rPr>
          <w:rFonts w:hint="eastAsia"/>
          <w:color w:val="000000" w:themeColor="text1"/>
        </w:rPr>
        <w:t>表示，此次“国九条”的发布充分体现了党中央、国务院对资本市场的高度重视和殷切期望。与前两个“国九条”相比，本次出台的意见主要特点</w:t>
      </w:r>
      <w:r w:rsidRPr="0068195A">
        <w:rPr>
          <w:rFonts w:hint="eastAsia"/>
          <w:b/>
          <w:bCs/>
          <w:color w:val="000000" w:themeColor="text1"/>
        </w:rPr>
        <w:t>：</w:t>
      </w:r>
    </w:p>
    <w:p w14:paraId="286BD918" w14:textId="77777777" w:rsidR="0068195A" w:rsidRDefault="00BC327F" w:rsidP="00BC327F">
      <w:pPr>
        <w:pStyle w:val="a7"/>
        <w:spacing w:before="156" w:after="156"/>
        <w:ind w:left="2520"/>
        <w:rPr>
          <w:color w:val="000000" w:themeColor="text1"/>
        </w:rPr>
      </w:pPr>
      <w:r w:rsidRPr="0068195A">
        <w:rPr>
          <w:rFonts w:hint="eastAsia"/>
          <w:b/>
          <w:bCs/>
          <w:color w:val="000000" w:themeColor="text1"/>
        </w:rPr>
        <w:t>（</w:t>
      </w:r>
      <w:r w:rsidRPr="0068195A">
        <w:rPr>
          <w:b/>
          <w:bCs/>
          <w:color w:val="000000" w:themeColor="text1"/>
        </w:rPr>
        <w:t>1</w:t>
      </w:r>
      <w:r w:rsidRPr="0068195A">
        <w:rPr>
          <w:rFonts w:hint="eastAsia"/>
          <w:b/>
          <w:bCs/>
          <w:color w:val="000000" w:themeColor="text1"/>
        </w:rPr>
        <w:t>）保护中小投资者合法权益。</w:t>
      </w:r>
      <w:r w:rsidRPr="00BC327F">
        <w:rPr>
          <w:rFonts w:hint="eastAsia"/>
          <w:color w:val="000000" w:themeColor="text1"/>
        </w:rPr>
        <w:t>意见充分体现资本市场的政治性、人民性。强调要坚持和加强党对资本市场工作的全面领导，坚持以人民为中心的价值取向，更加有效保护投资者特别是中小投资者合法权益。</w:t>
      </w:r>
    </w:p>
    <w:p w14:paraId="20D0AE51" w14:textId="77777777" w:rsidR="0068195A" w:rsidRDefault="00BC327F" w:rsidP="00BC327F">
      <w:pPr>
        <w:pStyle w:val="a7"/>
        <w:spacing w:before="156" w:after="156"/>
        <w:ind w:left="2520"/>
        <w:rPr>
          <w:color w:val="000000" w:themeColor="text1"/>
        </w:rPr>
      </w:pPr>
      <w:r w:rsidRPr="0068195A">
        <w:rPr>
          <w:rFonts w:hint="eastAsia"/>
          <w:b/>
          <w:bCs/>
          <w:color w:val="000000" w:themeColor="text1"/>
        </w:rPr>
        <w:t>（</w:t>
      </w:r>
      <w:r w:rsidRPr="0068195A">
        <w:rPr>
          <w:b/>
          <w:bCs/>
          <w:color w:val="000000" w:themeColor="text1"/>
        </w:rPr>
        <w:t>2</w:t>
      </w:r>
      <w:r w:rsidRPr="0068195A">
        <w:rPr>
          <w:rFonts w:hint="eastAsia"/>
          <w:b/>
          <w:bCs/>
          <w:color w:val="000000" w:themeColor="text1"/>
        </w:rPr>
        <w:t>）强化资本市场强监管政策基调。</w:t>
      </w:r>
      <w:r w:rsidRPr="00BC327F">
        <w:rPr>
          <w:rFonts w:hint="eastAsia"/>
          <w:color w:val="000000" w:themeColor="text1"/>
        </w:rPr>
        <w:t>意见充分体现强监管、防风险、促高质量发展的主线。要求坚持稳为基调，强本强基，严监严管，以资本市场自身的高质量发展更好服务经济社会高质量发展的大局。</w:t>
      </w:r>
    </w:p>
    <w:p w14:paraId="58A11A1F" w14:textId="4C7432E1" w:rsidR="00BC327F" w:rsidRDefault="00BC327F" w:rsidP="00BC327F">
      <w:pPr>
        <w:pStyle w:val="a7"/>
        <w:spacing w:before="156" w:after="156"/>
        <w:ind w:left="2520"/>
        <w:rPr>
          <w:color w:val="000000" w:themeColor="text1"/>
        </w:rPr>
      </w:pPr>
      <w:r w:rsidRPr="0068195A">
        <w:rPr>
          <w:rFonts w:hint="eastAsia"/>
          <w:b/>
          <w:bCs/>
          <w:color w:val="000000" w:themeColor="text1"/>
        </w:rPr>
        <w:lastRenderedPageBreak/>
        <w:t>（3）加快推动制度完善及机制改革。</w:t>
      </w:r>
      <w:r w:rsidRPr="00BC327F">
        <w:rPr>
          <w:rFonts w:hint="eastAsia"/>
          <w:color w:val="000000" w:themeColor="text1"/>
        </w:rPr>
        <w:t>意见充分体现目标导向、问题导向。吴清主席表示，针对2023年8月以来股市波动暴露出的制度机制、监管执法等方面的突出问题，及时补短板、强弱项，回应投资者关切，推动解决资本市场长期积累的深层次矛盾，加快建设安全、规范、透明、开放、有活力、有韧性的资本市场。</w:t>
      </w:r>
    </w:p>
    <w:p w14:paraId="6E8A81DD" w14:textId="00B5FA8D" w:rsidR="00EA4626" w:rsidRPr="004E22DB" w:rsidRDefault="00BD17B5" w:rsidP="00EA4626">
      <w:pPr>
        <w:pStyle w:val="a"/>
      </w:pPr>
      <w:bookmarkStart w:id="15" w:name="_Toc163928343"/>
      <w:r>
        <w:rPr>
          <w:rFonts w:hint="eastAsia"/>
        </w:rPr>
        <w:t>新“国九条”</w:t>
      </w:r>
      <w:r w:rsidRPr="00BC327F">
        <w:rPr>
          <w:rFonts w:hint="eastAsia"/>
          <w:color w:val="000000" w:themeColor="text1"/>
        </w:rPr>
        <w:t>总体要求为我国长期资本市场发展描绘蓝图</w:t>
      </w:r>
      <w:bookmarkEnd w:id="15"/>
    </w:p>
    <w:p w14:paraId="377402DC" w14:textId="00EF93E5" w:rsidR="00BC327F" w:rsidRDefault="00BC327F" w:rsidP="00BC327F">
      <w:pPr>
        <w:pStyle w:val="a7"/>
        <w:spacing w:before="156" w:after="156"/>
        <w:ind w:left="2520"/>
        <w:rPr>
          <w:color w:val="000000" w:themeColor="text1"/>
        </w:rPr>
      </w:pPr>
      <w:r w:rsidRPr="00BC327F">
        <w:rPr>
          <w:rFonts w:hint="eastAsia"/>
          <w:color w:val="000000" w:themeColor="text1"/>
        </w:rPr>
        <w:t>此次意见中第一部分总体要求中提及“五个必须”，体现出监管的目标导向，既是资本市场高质量发展的内在要求，也是资本市场稳定健康发展的实践路径。此外，</w:t>
      </w:r>
      <w:r w:rsidRPr="006C5BEF">
        <w:rPr>
          <w:rFonts w:hint="eastAsia"/>
          <w:b/>
          <w:bCs/>
          <w:color w:val="000000" w:themeColor="text1"/>
        </w:rPr>
        <w:t>意见提出了对我国资本市场“未来</w:t>
      </w:r>
      <w:r w:rsidRPr="006C5BEF">
        <w:rPr>
          <w:b/>
          <w:bCs/>
          <w:color w:val="000000" w:themeColor="text1"/>
        </w:rPr>
        <w:t>5</w:t>
      </w:r>
      <w:r w:rsidRPr="006C5BEF">
        <w:rPr>
          <w:rFonts w:hint="eastAsia"/>
          <w:b/>
          <w:bCs/>
          <w:color w:val="000000" w:themeColor="text1"/>
        </w:rPr>
        <w:t>年”、“到</w:t>
      </w:r>
      <w:r w:rsidRPr="006C5BEF">
        <w:rPr>
          <w:b/>
          <w:bCs/>
          <w:color w:val="000000" w:themeColor="text1"/>
        </w:rPr>
        <w:t>2035</w:t>
      </w:r>
      <w:r w:rsidRPr="006C5BEF">
        <w:rPr>
          <w:rFonts w:hint="eastAsia"/>
          <w:b/>
          <w:bCs/>
          <w:color w:val="000000" w:themeColor="text1"/>
        </w:rPr>
        <w:t>年”、“到本世纪中叶”的</w:t>
      </w:r>
      <w:r w:rsidR="00410510" w:rsidRPr="006C5BEF">
        <w:rPr>
          <w:rFonts w:hint="eastAsia"/>
          <w:b/>
          <w:bCs/>
          <w:color w:val="000000" w:themeColor="text1"/>
        </w:rPr>
        <w:t>“三步走”</w:t>
      </w:r>
      <w:r w:rsidRPr="006C5BEF">
        <w:rPr>
          <w:rFonts w:hint="eastAsia"/>
          <w:b/>
          <w:bCs/>
          <w:color w:val="000000" w:themeColor="text1"/>
        </w:rPr>
        <w:t>发展目标，</w:t>
      </w:r>
      <w:r w:rsidR="00410510" w:rsidRPr="006C5BEF">
        <w:rPr>
          <w:rFonts w:hint="eastAsia"/>
          <w:b/>
          <w:bCs/>
          <w:color w:val="000000" w:themeColor="text1"/>
        </w:rPr>
        <w:t>涵盖投资者保护、优化上市公司质量、促进行业机构发展、提高监管能力和治理体系建设等多个方面，为资本市场发展指明了方向</w:t>
      </w:r>
      <w:r w:rsidR="001A728F" w:rsidRPr="006C5BEF">
        <w:rPr>
          <w:rFonts w:hint="eastAsia"/>
          <w:b/>
          <w:bCs/>
          <w:color w:val="000000" w:themeColor="text1"/>
        </w:rPr>
        <w:t>，</w:t>
      </w:r>
      <w:r w:rsidRPr="006C5BEF">
        <w:rPr>
          <w:rFonts w:hint="eastAsia"/>
          <w:b/>
          <w:bCs/>
          <w:color w:val="000000" w:themeColor="text1"/>
        </w:rPr>
        <w:t>设定了清晰的路线图。</w:t>
      </w:r>
    </w:p>
    <w:p w14:paraId="2D2FE2AB" w14:textId="77777777" w:rsidR="0061425A" w:rsidRDefault="0061425A" w:rsidP="00BC327F">
      <w:pPr>
        <w:pStyle w:val="a7"/>
        <w:spacing w:before="156" w:after="156"/>
        <w:ind w:left="2520"/>
        <w:rPr>
          <w:color w:val="000000" w:themeColor="text1"/>
        </w:rPr>
      </w:pPr>
      <w:r w:rsidRPr="0061425A">
        <w:rPr>
          <w:rFonts w:hint="eastAsia"/>
          <w:color w:val="000000" w:themeColor="text1"/>
        </w:rPr>
        <w:t>未来5年，基本形成资本市场高质量发展的总体框架。投资者保护的制度机制更加完善。上市公司质量和结构明显优化，证券基金期货机构实力和服务能力持续增强。资本市场监管能力和有效性大幅提高。资本市场良好生态加快形成。</w:t>
      </w:r>
    </w:p>
    <w:p w14:paraId="1CBD0245" w14:textId="77777777" w:rsidR="0061425A" w:rsidRDefault="0061425A" w:rsidP="00BC327F">
      <w:pPr>
        <w:pStyle w:val="a7"/>
        <w:spacing w:before="156" w:after="156"/>
        <w:ind w:left="2520"/>
        <w:rPr>
          <w:color w:val="000000" w:themeColor="text1"/>
        </w:rPr>
      </w:pPr>
      <w:r w:rsidRPr="0061425A">
        <w:rPr>
          <w:rFonts w:hint="eastAsia"/>
          <w:color w:val="000000" w:themeColor="text1"/>
        </w:rPr>
        <w:t>到2035年，基本建成具有高度适应性、竞争力、普惠性的资本市场，投资者合法权益得到更加有效的保护。投融资结构趋于合理，上市公司质量显著提高，一流投资银行和投资机构建设取得明显进展。资本市场监管体制机制更加完备。</w:t>
      </w:r>
    </w:p>
    <w:p w14:paraId="000941E6" w14:textId="21177A56" w:rsidR="0061425A" w:rsidRPr="00BC327F" w:rsidRDefault="0061425A" w:rsidP="00BC327F">
      <w:pPr>
        <w:pStyle w:val="a7"/>
        <w:spacing w:before="156" w:after="156"/>
        <w:ind w:left="2520"/>
        <w:rPr>
          <w:color w:val="000000" w:themeColor="text1"/>
        </w:rPr>
      </w:pPr>
      <w:r w:rsidRPr="0061425A">
        <w:rPr>
          <w:rFonts w:hint="eastAsia"/>
          <w:color w:val="000000" w:themeColor="text1"/>
        </w:rPr>
        <w:t>到本世纪中叶，资本市场治理体系和治理能力现代化水平进一步提高，建成与金融强国相匹配的高质量资本市场。</w:t>
      </w:r>
    </w:p>
    <w:p w14:paraId="4AB8F5A7" w14:textId="00317AB0" w:rsidR="003F02A8" w:rsidRPr="003F02A8" w:rsidRDefault="008B218E" w:rsidP="003F02A8">
      <w:pPr>
        <w:pStyle w:val="a"/>
      </w:pPr>
      <w:bookmarkStart w:id="16" w:name="_Toc163928344"/>
      <w:r>
        <w:rPr>
          <w:rFonts w:hint="eastAsia"/>
        </w:rPr>
        <w:t>企业</w:t>
      </w:r>
      <w:r w:rsidR="00BC327F" w:rsidRPr="003F02A8">
        <w:t>“</w:t>
      </w:r>
      <w:r w:rsidR="00BC327F" w:rsidRPr="003F02A8">
        <w:rPr>
          <w:rFonts w:hint="eastAsia"/>
        </w:rPr>
        <w:t>发行上市</w:t>
      </w:r>
      <w:r w:rsidR="00BC327F" w:rsidRPr="003F02A8">
        <w:t>-</w:t>
      </w:r>
      <w:r w:rsidR="00BC327F" w:rsidRPr="003F02A8">
        <w:rPr>
          <w:rFonts w:hint="eastAsia"/>
        </w:rPr>
        <w:t>日常监管</w:t>
      </w:r>
      <w:r w:rsidR="00BC327F" w:rsidRPr="003F02A8">
        <w:t>-</w:t>
      </w:r>
      <w:r w:rsidR="00BC327F" w:rsidRPr="003F02A8">
        <w:rPr>
          <w:rFonts w:hint="eastAsia"/>
        </w:rPr>
        <w:t>退市”全链条监管从严</w:t>
      </w:r>
      <w:bookmarkEnd w:id="16"/>
    </w:p>
    <w:p w14:paraId="592D942D" w14:textId="17D753DF" w:rsidR="00C12A3C" w:rsidRDefault="00C12A3C" w:rsidP="00C12A3C">
      <w:pPr>
        <w:pStyle w:val="a0"/>
      </w:pPr>
      <w:bookmarkStart w:id="17" w:name="_Toc163928345"/>
      <w:r>
        <w:rPr>
          <w:rFonts w:hint="eastAsia"/>
        </w:rPr>
        <w:t>上市准入门槛提高，强化关键指标</w:t>
      </w:r>
      <w:bookmarkEnd w:id="17"/>
    </w:p>
    <w:p w14:paraId="376528B2" w14:textId="2277636A" w:rsidR="00CF42C3" w:rsidRDefault="00BC327F" w:rsidP="00BC327F">
      <w:pPr>
        <w:pStyle w:val="a7"/>
        <w:spacing w:before="156" w:after="156"/>
        <w:ind w:left="2520"/>
        <w:rPr>
          <w:color w:val="000000" w:themeColor="text1"/>
        </w:rPr>
      </w:pPr>
      <w:r w:rsidRPr="00BC327F">
        <w:rPr>
          <w:rFonts w:hint="eastAsia"/>
          <w:color w:val="000000" w:themeColor="text1"/>
        </w:rPr>
        <w:t>在上市准入方面，意见明确重申在上市过程中要求一是进一步完善发行上市制度，二是是强化发行上市全链条责任，三是加大发行承销监管力度。</w:t>
      </w:r>
    </w:p>
    <w:p w14:paraId="59EDD42D" w14:textId="24D9B98E" w:rsidR="00C260B6" w:rsidRDefault="00BC327F" w:rsidP="00C260B6">
      <w:pPr>
        <w:pStyle w:val="a7"/>
        <w:spacing w:before="156" w:after="156"/>
        <w:ind w:left="2520"/>
        <w:rPr>
          <w:color w:val="000000" w:themeColor="text1"/>
        </w:rPr>
      </w:pPr>
      <w:r w:rsidRPr="00BC327F">
        <w:rPr>
          <w:rFonts w:hint="eastAsia"/>
          <w:color w:val="000000" w:themeColor="text1"/>
        </w:rPr>
        <w:t>证监会首席风险官、发行监管司司长</w:t>
      </w:r>
      <w:proofErr w:type="gramStart"/>
      <w:r w:rsidRPr="00BC327F">
        <w:rPr>
          <w:rFonts w:hint="eastAsia"/>
          <w:color w:val="000000" w:themeColor="text1"/>
        </w:rPr>
        <w:t>严伯进</w:t>
      </w:r>
      <w:proofErr w:type="gramEnd"/>
      <w:r w:rsidRPr="00BC327F">
        <w:rPr>
          <w:rFonts w:hint="eastAsia"/>
          <w:color w:val="000000" w:themeColor="text1"/>
        </w:rPr>
        <w:t>表示拟适度的提高主板和创业</w:t>
      </w:r>
      <w:proofErr w:type="gramStart"/>
      <w:r w:rsidRPr="00BC327F">
        <w:rPr>
          <w:rFonts w:hint="eastAsia"/>
          <w:color w:val="000000" w:themeColor="text1"/>
        </w:rPr>
        <w:t>板企业</w:t>
      </w:r>
      <w:proofErr w:type="gramEnd"/>
      <w:r w:rsidRPr="00BC327F">
        <w:rPr>
          <w:rFonts w:hint="eastAsia"/>
          <w:color w:val="000000" w:themeColor="text1"/>
        </w:rPr>
        <w:t>的营业收入、净利润等指标，比如对最近一年的净利润，主板准备提高到</w:t>
      </w:r>
      <w:r w:rsidRPr="00BC327F">
        <w:rPr>
          <w:color w:val="000000" w:themeColor="text1"/>
        </w:rPr>
        <w:t>1</w:t>
      </w:r>
      <w:r w:rsidRPr="00BC327F">
        <w:rPr>
          <w:rFonts w:hint="eastAsia"/>
          <w:color w:val="000000" w:themeColor="text1"/>
        </w:rPr>
        <w:t>亿元，创业</w:t>
      </w:r>
      <w:proofErr w:type="gramStart"/>
      <w:r w:rsidRPr="00BC327F">
        <w:rPr>
          <w:rFonts w:hint="eastAsia"/>
          <w:color w:val="000000" w:themeColor="text1"/>
        </w:rPr>
        <w:t>板准备</w:t>
      </w:r>
      <w:proofErr w:type="gramEnd"/>
      <w:r w:rsidRPr="00BC327F">
        <w:rPr>
          <w:rFonts w:hint="eastAsia"/>
          <w:color w:val="000000" w:themeColor="text1"/>
        </w:rPr>
        <w:t>提高到</w:t>
      </w:r>
      <w:r w:rsidRPr="00BC327F">
        <w:rPr>
          <w:color w:val="000000" w:themeColor="text1"/>
        </w:rPr>
        <w:t>6000</w:t>
      </w:r>
      <w:r w:rsidRPr="00BC327F">
        <w:rPr>
          <w:rFonts w:hint="eastAsia"/>
          <w:color w:val="000000" w:themeColor="text1"/>
        </w:rPr>
        <w:t>万，对</w:t>
      </w:r>
      <w:proofErr w:type="gramStart"/>
      <w:r w:rsidRPr="00BC327F">
        <w:rPr>
          <w:rFonts w:hint="eastAsia"/>
          <w:color w:val="000000" w:themeColor="text1"/>
        </w:rPr>
        <w:t>科创板</w:t>
      </w:r>
      <w:proofErr w:type="gramEnd"/>
      <w:r w:rsidRPr="00BC327F">
        <w:rPr>
          <w:rFonts w:hint="eastAsia"/>
          <w:color w:val="000000" w:themeColor="text1"/>
        </w:rPr>
        <w:t>和北交</w:t>
      </w:r>
      <w:proofErr w:type="gramStart"/>
      <w:r w:rsidRPr="00BC327F">
        <w:rPr>
          <w:rFonts w:hint="eastAsia"/>
          <w:color w:val="000000" w:themeColor="text1"/>
        </w:rPr>
        <w:t>所企业</w:t>
      </w:r>
      <w:proofErr w:type="gramEnd"/>
      <w:r w:rsidRPr="00BC327F">
        <w:rPr>
          <w:rFonts w:hint="eastAsia"/>
          <w:color w:val="000000" w:themeColor="text1"/>
        </w:rPr>
        <w:t>的财务条件维持不变。对</w:t>
      </w:r>
      <w:proofErr w:type="gramStart"/>
      <w:r w:rsidRPr="00BC327F">
        <w:rPr>
          <w:rFonts w:hint="eastAsia"/>
          <w:color w:val="000000" w:themeColor="text1"/>
        </w:rPr>
        <w:t>科创板企业的科创</w:t>
      </w:r>
      <w:proofErr w:type="gramEnd"/>
      <w:r w:rsidRPr="00BC327F">
        <w:rPr>
          <w:rFonts w:hint="eastAsia"/>
          <w:color w:val="000000" w:themeColor="text1"/>
        </w:rPr>
        <w:t>属性提出更高的要求。</w:t>
      </w:r>
      <w:r w:rsidR="00C260B6" w:rsidRPr="00C260B6">
        <w:rPr>
          <w:rFonts w:hint="eastAsia"/>
          <w:color w:val="000000" w:themeColor="text1"/>
        </w:rPr>
        <w:t>4月12日，证监会宣布修订《科创属性评价指引（试行）》，强化衡量科研投入、科研成果和成长性的关键指标。</w:t>
      </w:r>
      <w:r w:rsidR="00C260B6">
        <w:rPr>
          <w:rFonts w:hint="eastAsia"/>
          <w:color w:val="000000" w:themeColor="text1"/>
        </w:rPr>
        <w:t>同日，</w:t>
      </w:r>
      <w:r w:rsidR="00C260B6" w:rsidRPr="00C260B6">
        <w:rPr>
          <w:rFonts w:hint="eastAsia"/>
          <w:color w:val="000000" w:themeColor="text1"/>
        </w:rPr>
        <w:t>沪深交易所就《股票发行上市审核规则》征求意见，提高上市条件。</w:t>
      </w:r>
    </w:p>
    <w:tbl>
      <w:tblPr>
        <w:tblStyle w:val="a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260B6" w14:paraId="38E99059" w14:textId="77777777" w:rsidTr="00A70D70">
        <w:trPr>
          <w:trHeight w:val="283"/>
          <w:jc w:val="center"/>
        </w:trPr>
        <w:tc>
          <w:tcPr>
            <w:tcW w:w="10205" w:type="dxa"/>
            <w:tcBorders>
              <w:top w:val="single" w:sz="12" w:space="0" w:color="auto"/>
              <w:bottom w:val="single" w:sz="12" w:space="0" w:color="auto"/>
            </w:tcBorders>
            <w:shd w:val="clear" w:color="auto" w:fill="auto"/>
          </w:tcPr>
          <w:p w14:paraId="111A4C30" w14:textId="1C585DF6" w:rsidR="00C260B6" w:rsidRPr="009B0CEB" w:rsidRDefault="005031BD" w:rsidP="00A70D70">
            <w:pPr>
              <w:pStyle w:val="a2"/>
            </w:pPr>
            <w:bookmarkStart w:id="18" w:name="_Toc163928352"/>
            <w:r>
              <w:rPr>
                <w:rFonts w:hint="eastAsia"/>
              </w:rPr>
              <w:t>主板、创业板、</w:t>
            </w:r>
            <w:proofErr w:type="gramStart"/>
            <w:r>
              <w:rPr>
                <w:rFonts w:hint="eastAsia"/>
              </w:rPr>
              <w:t>科创板新</w:t>
            </w:r>
            <w:proofErr w:type="gramEnd"/>
            <w:r w:rsidR="00457E16">
              <w:rPr>
                <w:rFonts w:hint="eastAsia"/>
              </w:rPr>
              <w:t>上市标准概览</w:t>
            </w:r>
            <w:bookmarkEnd w:id="18"/>
          </w:p>
        </w:tc>
      </w:tr>
      <w:tr w:rsidR="00C260B6" w14:paraId="3208E01B" w14:textId="77777777" w:rsidTr="00A70D70">
        <w:trPr>
          <w:trHeight w:val="3402"/>
          <w:jc w:val="center"/>
        </w:trPr>
        <w:tc>
          <w:tcPr>
            <w:tcW w:w="10205" w:type="dxa"/>
            <w:tcBorders>
              <w:top w:val="single" w:sz="12" w:space="0" w:color="auto"/>
              <w:bottom w:val="single" w:sz="12" w:space="0" w:color="auto"/>
            </w:tcBorders>
            <w:shd w:val="clear" w:color="auto" w:fill="auto"/>
          </w:tcPr>
          <w:tbl>
            <w:tblPr>
              <w:tblStyle w:val="af7"/>
              <w:tblW w:w="0" w:type="auto"/>
              <w:tblLook w:val="04A0" w:firstRow="1" w:lastRow="0" w:firstColumn="1" w:lastColumn="0" w:noHBand="0" w:noVBand="1"/>
            </w:tblPr>
            <w:tblGrid>
              <w:gridCol w:w="1171"/>
              <w:gridCol w:w="2936"/>
              <w:gridCol w:w="2936"/>
              <w:gridCol w:w="2936"/>
            </w:tblGrid>
            <w:tr w:rsidR="00C260B6" w14:paraId="41D06641" w14:textId="77777777" w:rsidTr="00A70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14:paraId="73538809" w14:textId="77777777" w:rsidR="00C260B6" w:rsidRDefault="00C260B6" w:rsidP="00A70D70"/>
              </w:tc>
              <w:tc>
                <w:tcPr>
                  <w:tcW w:w="2936" w:type="dxa"/>
                </w:tcPr>
                <w:p w14:paraId="6696BC13" w14:textId="31D9FBBA" w:rsidR="00C260B6" w:rsidRDefault="008874CF" w:rsidP="00A70D70">
                  <w:pPr>
                    <w:cnfStyle w:val="100000000000" w:firstRow="1" w:lastRow="0" w:firstColumn="0" w:lastColumn="0" w:oddVBand="0" w:evenVBand="0" w:oddHBand="0" w:evenHBand="0" w:firstRowFirstColumn="0" w:firstRowLastColumn="0" w:lastRowFirstColumn="0" w:lastRowLastColumn="0"/>
                  </w:pPr>
                  <w:r>
                    <w:rPr>
                      <w:rFonts w:hint="eastAsia"/>
                    </w:rPr>
                    <w:t>主板</w:t>
                  </w:r>
                </w:p>
              </w:tc>
              <w:tc>
                <w:tcPr>
                  <w:tcW w:w="2936" w:type="dxa"/>
                </w:tcPr>
                <w:p w14:paraId="3FBA1A04" w14:textId="59ADCE84" w:rsidR="00C260B6" w:rsidRDefault="008874CF" w:rsidP="00A70D70">
                  <w:pPr>
                    <w:cnfStyle w:val="100000000000" w:firstRow="1" w:lastRow="0" w:firstColumn="0" w:lastColumn="0" w:oddVBand="0" w:evenVBand="0" w:oddHBand="0" w:evenHBand="0" w:firstRowFirstColumn="0" w:firstRowLastColumn="0" w:lastRowFirstColumn="0" w:lastRowLastColumn="0"/>
                  </w:pPr>
                  <w:r>
                    <w:rPr>
                      <w:rFonts w:hint="eastAsia"/>
                    </w:rPr>
                    <w:t>创业板</w:t>
                  </w:r>
                </w:p>
              </w:tc>
              <w:tc>
                <w:tcPr>
                  <w:tcW w:w="2936" w:type="dxa"/>
                </w:tcPr>
                <w:p w14:paraId="6184E19E" w14:textId="3D60F6EC" w:rsidR="00C260B6" w:rsidRDefault="008874CF" w:rsidP="00A70D70">
                  <w:pPr>
                    <w:cnfStyle w:val="100000000000" w:firstRow="1" w:lastRow="0" w:firstColumn="0" w:lastColumn="0" w:oddVBand="0" w:evenVBand="0" w:oddHBand="0" w:evenHBand="0" w:firstRowFirstColumn="0" w:firstRowLastColumn="0" w:lastRowFirstColumn="0" w:lastRowLastColumn="0"/>
                  </w:pPr>
                  <w:proofErr w:type="gramStart"/>
                  <w:r>
                    <w:rPr>
                      <w:rFonts w:hint="eastAsia"/>
                    </w:rPr>
                    <w:t>科创板</w:t>
                  </w:r>
                  <w:proofErr w:type="gramEnd"/>
                </w:p>
              </w:tc>
            </w:tr>
            <w:tr w:rsidR="00075826" w14:paraId="164F3C0B" w14:textId="77777777" w:rsidTr="00A70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46BA2B35" w14:textId="78BF385A" w:rsidR="00075826" w:rsidRDefault="00075826" w:rsidP="00A70D70">
                  <w:pPr>
                    <w:jc w:val="center"/>
                  </w:pPr>
                  <w:r>
                    <w:rPr>
                      <w:rFonts w:hint="eastAsia"/>
                    </w:rPr>
                    <w:t>板块定位</w:t>
                  </w:r>
                </w:p>
              </w:tc>
              <w:tc>
                <w:tcPr>
                  <w:tcW w:w="2936" w:type="dxa"/>
                  <w:vAlign w:val="center"/>
                </w:tcPr>
                <w:p w14:paraId="6F187B2D" w14:textId="3A1DF7AB" w:rsidR="00075826" w:rsidRPr="00897E1A" w:rsidRDefault="00075826" w:rsidP="00897E1A">
                  <w:pPr>
                    <w:cnfStyle w:val="000000100000" w:firstRow="0" w:lastRow="0" w:firstColumn="0" w:lastColumn="0" w:oddVBand="0" w:evenVBand="0" w:oddHBand="1" w:evenHBand="0" w:firstRowFirstColumn="0" w:firstRowLastColumn="0" w:lastRowFirstColumn="0" w:lastRowLastColumn="0"/>
                  </w:pPr>
                  <w:r w:rsidRPr="00075826">
                    <w:rPr>
                      <w:rFonts w:hint="eastAsia"/>
                    </w:rPr>
                    <w:t>突出“大盘蓝筹”特色，重点支持业务模式成熟、经营业绩稳定、规模较大、具有行业代表性的优质企业</w:t>
                  </w:r>
                </w:p>
              </w:tc>
              <w:tc>
                <w:tcPr>
                  <w:tcW w:w="2936" w:type="dxa"/>
                  <w:vAlign w:val="center"/>
                </w:tcPr>
                <w:p w14:paraId="193A4EE8" w14:textId="5D6A9283" w:rsidR="00075826" w:rsidRPr="004F76D9" w:rsidRDefault="00613701" w:rsidP="00A70D70">
                  <w:pPr>
                    <w:cnfStyle w:val="000000100000" w:firstRow="0" w:lastRow="0" w:firstColumn="0" w:lastColumn="0" w:oddVBand="0" w:evenVBand="0" w:oddHBand="1" w:evenHBand="0" w:firstRowFirstColumn="0" w:firstRowLastColumn="0" w:lastRowFirstColumn="0" w:lastRowLastColumn="0"/>
                  </w:pPr>
                  <w:r w:rsidRPr="00613701">
                    <w:rPr>
                      <w:rFonts w:hint="eastAsia"/>
                      <w:color w:val="333333"/>
                      <w:shd w:val="clear" w:color="auto" w:fill="FFFFFF"/>
                    </w:rPr>
                    <w:t>主要服务成长型创新创业企业，进一步从促进新质生产力发展要求出发，</w:t>
                  </w:r>
                  <w:r>
                    <w:rPr>
                      <w:rFonts w:hint="eastAsia"/>
                      <w:color w:val="333333"/>
                      <w:shd w:val="clear" w:color="auto" w:fill="FFFFFF"/>
                    </w:rPr>
                    <w:t>突出</w:t>
                  </w:r>
                  <w:r w:rsidRPr="00613701">
                    <w:rPr>
                      <w:rFonts w:hint="eastAsia"/>
                      <w:color w:val="333333"/>
                      <w:shd w:val="clear" w:color="auto" w:fill="FFFFFF"/>
                    </w:rPr>
                    <w:t>“三创”“四新”标准</w:t>
                  </w:r>
                </w:p>
              </w:tc>
              <w:tc>
                <w:tcPr>
                  <w:tcW w:w="2936" w:type="dxa"/>
                  <w:vAlign w:val="center"/>
                </w:tcPr>
                <w:p w14:paraId="6CF1E0F0" w14:textId="37447926" w:rsidR="00075826" w:rsidRPr="00741D2B" w:rsidRDefault="00075826" w:rsidP="00A70D70">
                  <w:pPr>
                    <w:cnfStyle w:val="000000100000" w:firstRow="0" w:lastRow="0" w:firstColumn="0" w:lastColumn="0" w:oddVBand="0" w:evenVBand="0" w:oddHBand="1" w:evenHBand="0" w:firstRowFirstColumn="0" w:firstRowLastColumn="0" w:lastRowFirstColumn="0" w:lastRowLastColumn="0"/>
                  </w:pPr>
                  <w:r w:rsidRPr="00075826">
                    <w:rPr>
                      <w:rFonts w:hint="eastAsia"/>
                    </w:rPr>
                    <w:t>主要服务于符合国家战略，拥有关键核心技术，科技创新能力突出，主要依靠核心技术开展生产经营，具有稳定的商业模式，市场认可度高，社会形象良好，具有较强成长性的企业</w:t>
                  </w:r>
                </w:p>
              </w:tc>
            </w:tr>
            <w:tr w:rsidR="00C260B6" w14:paraId="6F61DEC3" w14:textId="77777777" w:rsidTr="00A70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vAlign w:val="center"/>
                </w:tcPr>
                <w:p w14:paraId="72EFAF1E" w14:textId="5B51C43B" w:rsidR="00C260B6" w:rsidRDefault="00897E1A" w:rsidP="00A70D70">
                  <w:pPr>
                    <w:jc w:val="center"/>
                  </w:pPr>
                  <w:r>
                    <w:rPr>
                      <w:rFonts w:hint="eastAsia"/>
                    </w:rPr>
                    <w:t>上市标准</w:t>
                  </w:r>
                </w:p>
              </w:tc>
              <w:tc>
                <w:tcPr>
                  <w:tcW w:w="2936" w:type="dxa"/>
                  <w:vAlign w:val="center"/>
                </w:tcPr>
                <w:p w14:paraId="4DC2BF3B" w14:textId="205D4B4F" w:rsidR="00897E1A" w:rsidRPr="00897E1A" w:rsidRDefault="00897E1A" w:rsidP="00897E1A">
                  <w:pPr>
                    <w:cnfStyle w:val="000000010000" w:firstRow="0" w:lastRow="0" w:firstColumn="0" w:lastColumn="0" w:oddVBand="0" w:evenVBand="0" w:oddHBand="0" w:evenHBand="1" w:firstRowFirstColumn="0" w:firstRowLastColumn="0" w:lastRowFirstColumn="0" w:lastRowLastColumn="0"/>
                  </w:pPr>
                  <w:r w:rsidRPr="00897E1A">
                    <w:rPr>
                      <w:rFonts w:hint="eastAsia"/>
                    </w:rPr>
                    <w:t>【</w:t>
                  </w:r>
                  <w:r w:rsidR="00704B50">
                    <w:rPr>
                      <w:rFonts w:hint="eastAsia"/>
                    </w:rPr>
                    <w:t>三套标准</w:t>
                  </w:r>
                  <w:r w:rsidR="006F4AE5">
                    <w:rPr>
                      <w:rFonts w:hint="eastAsia"/>
                    </w:rPr>
                    <w:t>选一</w:t>
                  </w:r>
                  <w:r w:rsidRPr="00897E1A">
                    <w:rPr>
                      <w:rFonts w:hint="eastAsia"/>
                    </w:rPr>
                    <w:t>】</w:t>
                  </w:r>
                  <w:r w:rsidRPr="00897E1A">
                    <w:rPr>
                      <w:rFonts w:hint="eastAsia"/>
                    </w:rPr>
                    <w:t>:</w:t>
                  </w:r>
                </w:p>
                <w:p w14:paraId="7D845CA4" w14:textId="51AC4ACF" w:rsidR="00704B50" w:rsidRDefault="00704B50" w:rsidP="00897E1A">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1</w:t>
                  </w:r>
                  <w:r>
                    <w:rPr>
                      <w:rFonts w:hint="eastAsia"/>
                    </w:rPr>
                    <w:t>）</w:t>
                  </w:r>
                  <w:r w:rsidR="00897E1A">
                    <w:rPr>
                      <w:rFonts w:hint="eastAsia"/>
                    </w:rPr>
                    <w:t>最近</w:t>
                  </w:r>
                  <w:r w:rsidR="00897E1A" w:rsidRPr="00897E1A">
                    <w:rPr>
                      <w:rFonts w:hint="eastAsia"/>
                    </w:rPr>
                    <w:t>三年净利润</w:t>
                  </w:r>
                  <w:r w:rsidR="00897E1A" w:rsidRPr="00897E1A">
                    <w:rPr>
                      <w:rFonts w:hint="eastAsia"/>
                    </w:rPr>
                    <w:t>&gt;0</w:t>
                  </w:r>
                  <w:r w:rsidR="00897E1A" w:rsidRPr="00897E1A">
                    <w:rPr>
                      <w:rFonts w:hint="eastAsia"/>
                    </w:rPr>
                    <w:t>，</w:t>
                  </w:r>
                  <w:r w:rsidR="00897E1A" w:rsidRPr="00704B50">
                    <w:rPr>
                      <w:rFonts w:hint="eastAsia"/>
                      <w:b/>
                      <w:bCs/>
                      <w:color w:val="000000" w:themeColor="text1"/>
                    </w:rPr>
                    <w:t>最近三年累计净利润</w:t>
                  </w:r>
                  <w:r w:rsidRPr="00704B50">
                    <w:rPr>
                      <w:rFonts w:hint="eastAsia"/>
                      <w:b/>
                      <w:bCs/>
                      <w:color w:val="000000" w:themeColor="text1"/>
                    </w:rPr>
                    <w:t>≥</w:t>
                  </w:r>
                  <w:r w:rsidR="00897E1A" w:rsidRPr="00704B50">
                    <w:rPr>
                      <w:rFonts w:hint="eastAsia"/>
                      <w:b/>
                      <w:bCs/>
                      <w:color w:val="000000" w:themeColor="text1"/>
                    </w:rPr>
                    <w:t xml:space="preserve">2 </w:t>
                  </w:r>
                  <w:r w:rsidR="00897E1A" w:rsidRPr="00704B50">
                    <w:rPr>
                      <w:rFonts w:hint="eastAsia"/>
                      <w:b/>
                      <w:bCs/>
                      <w:color w:val="000000" w:themeColor="text1"/>
                    </w:rPr>
                    <w:t>亿元</w:t>
                  </w:r>
                  <w:r w:rsidR="00897E1A" w:rsidRPr="00897E1A">
                    <w:rPr>
                      <w:rFonts w:hint="eastAsia"/>
                    </w:rPr>
                    <w:t>，</w:t>
                  </w:r>
                  <w:r w:rsidR="00897E1A" w:rsidRPr="00704B50">
                    <w:rPr>
                      <w:rFonts w:hint="eastAsia"/>
                      <w:b/>
                      <w:bCs/>
                    </w:rPr>
                    <w:t>最</w:t>
                  </w:r>
                  <w:r w:rsidR="00897E1A" w:rsidRPr="00704B50">
                    <w:rPr>
                      <w:rFonts w:hint="eastAsia"/>
                      <w:b/>
                      <w:bCs/>
                    </w:rPr>
                    <w:lastRenderedPageBreak/>
                    <w:t>近一年净利润</w:t>
                  </w:r>
                  <w:r>
                    <w:rPr>
                      <w:rFonts w:hint="eastAsia"/>
                      <w:b/>
                      <w:bCs/>
                    </w:rPr>
                    <w:t>≥</w:t>
                  </w:r>
                  <w:r w:rsidR="00897E1A" w:rsidRPr="00704B50">
                    <w:rPr>
                      <w:rFonts w:hint="eastAsia"/>
                      <w:b/>
                      <w:bCs/>
                    </w:rPr>
                    <w:t>1</w:t>
                  </w:r>
                  <w:r w:rsidR="00897E1A" w:rsidRPr="00704B50">
                    <w:rPr>
                      <w:rFonts w:hint="eastAsia"/>
                      <w:b/>
                      <w:bCs/>
                    </w:rPr>
                    <w:t>亿元</w:t>
                  </w:r>
                  <w:r w:rsidR="00897E1A" w:rsidRPr="00897E1A">
                    <w:rPr>
                      <w:rFonts w:hint="eastAsia"/>
                    </w:rPr>
                    <w:t>，</w:t>
                  </w:r>
                  <w:r w:rsidR="00897E1A" w:rsidRPr="00704B50">
                    <w:rPr>
                      <w:rFonts w:hint="eastAsia"/>
                      <w:b/>
                      <w:bCs/>
                    </w:rPr>
                    <w:t>最近三年经营现金流净额累计≥</w:t>
                  </w:r>
                  <w:r w:rsidR="00897E1A" w:rsidRPr="00704B50">
                    <w:rPr>
                      <w:rFonts w:hint="eastAsia"/>
                      <w:b/>
                      <w:bCs/>
                    </w:rPr>
                    <w:t xml:space="preserve">2 </w:t>
                  </w:r>
                  <w:r w:rsidR="00897E1A" w:rsidRPr="00704B50">
                    <w:rPr>
                      <w:rFonts w:hint="eastAsia"/>
                      <w:b/>
                      <w:bCs/>
                    </w:rPr>
                    <w:t>亿元或营业收入累计≥</w:t>
                  </w:r>
                  <w:r w:rsidR="00897E1A" w:rsidRPr="00704B50">
                    <w:rPr>
                      <w:rFonts w:hint="eastAsia"/>
                      <w:b/>
                      <w:bCs/>
                    </w:rPr>
                    <w:t xml:space="preserve">15 </w:t>
                  </w:r>
                  <w:r w:rsidR="00897E1A" w:rsidRPr="00704B50">
                    <w:rPr>
                      <w:rFonts w:hint="eastAsia"/>
                      <w:b/>
                      <w:bCs/>
                    </w:rPr>
                    <w:t>亿元</w:t>
                  </w:r>
                  <w:r>
                    <w:rPr>
                      <w:rFonts w:hint="eastAsia"/>
                      <w:b/>
                      <w:bCs/>
                    </w:rPr>
                    <w:t>；</w:t>
                  </w:r>
                </w:p>
                <w:p w14:paraId="432F16E5" w14:textId="18FEA89E" w:rsidR="00897E1A" w:rsidRPr="00897E1A" w:rsidRDefault="00704B50" w:rsidP="00897E1A">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2</w:t>
                  </w:r>
                  <w:r>
                    <w:rPr>
                      <w:rFonts w:hint="eastAsia"/>
                    </w:rPr>
                    <w:t>）预计</w:t>
                  </w:r>
                  <w:r w:rsidR="00897E1A" w:rsidRPr="00897E1A">
                    <w:rPr>
                      <w:rFonts w:hint="eastAsia"/>
                    </w:rPr>
                    <w:t>市值</w:t>
                  </w:r>
                  <w:r>
                    <w:rPr>
                      <w:rFonts w:hint="eastAsia"/>
                    </w:rPr>
                    <w:t>≥</w:t>
                  </w:r>
                  <w:r w:rsidR="00897E1A" w:rsidRPr="00897E1A">
                    <w:rPr>
                      <w:rFonts w:hint="eastAsia"/>
                    </w:rPr>
                    <w:t xml:space="preserve">50 </w:t>
                  </w:r>
                  <w:r w:rsidR="00897E1A" w:rsidRPr="00897E1A">
                    <w:rPr>
                      <w:rFonts w:hint="eastAsia"/>
                    </w:rPr>
                    <w:t>亿元，最近</w:t>
                  </w:r>
                  <w:r>
                    <w:rPr>
                      <w:rFonts w:hint="eastAsia"/>
                    </w:rPr>
                    <w:t>一</w:t>
                  </w:r>
                  <w:r w:rsidR="00897E1A" w:rsidRPr="00897E1A">
                    <w:rPr>
                      <w:rFonts w:hint="eastAsia"/>
                    </w:rPr>
                    <w:t>年净利润</w:t>
                  </w:r>
                  <w:r>
                    <w:rPr>
                      <w:rFonts w:hint="eastAsia"/>
                    </w:rPr>
                    <w:t>＞</w:t>
                  </w:r>
                  <w:r>
                    <w:rPr>
                      <w:rFonts w:hint="eastAsia"/>
                    </w:rPr>
                    <w:t>0</w:t>
                  </w:r>
                  <w:r w:rsidR="00897E1A" w:rsidRPr="00897E1A">
                    <w:rPr>
                      <w:rFonts w:hint="eastAsia"/>
                    </w:rPr>
                    <w:t>，最近一年营业收入</w:t>
                  </w:r>
                  <w:r>
                    <w:rPr>
                      <w:rFonts w:hint="eastAsia"/>
                    </w:rPr>
                    <w:t>≥</w:t>
                  </w:r>
                  <w:r w:rsidR="00897E1A" w:rsidRPr="00897E1A">
                    <w:rPr>
                      <w:rFonts w:hint="eastAsia"/>
                    </w:rPr>
                    <w:t>6</w:t>
                  </w:r>
                  <w:r w:rsidR="00897E1A" w:rsidRPr="00897E1A">
                    <w:rPr>
                      <w:rFonts w:hint="eastAsia"/>
                    </w:rPr>
                    <w:t>亿元，</w:t>
                  </w:r>
                  <w:r w:rsidR="00897E1A" w:rsidRPr="00704B50">
                    <w:rPr>
                      <w:rFonts w:hint="eastAsia"/>
                      <w:b/>
                      <w:bCs/>
                    </w:rPr>
                    <w:t>最近三年经营活动现金流净额</w:t>
                  </w:r>
                  <w:r>
                    <w:rPr>
                      <w:rFonts w:hint="eastAsia"/>
                      <w:b/>
                      <w:bCs/>
                    </w:rPr>
                    <w:t>≥</w:t>
                  </w:r>
                  <w:r w:rsidR="00897E1A" w:rsidRPr="00704B50">
                    <w:rPr>
                      <w:rFonts w:hint="eastAsia"/>
                      <w:b/>
                      <w:bCs/>
                    </w:rPr>
                    <w:t xml:space="preserve">2.5 </w:t>
                  </w:r>
                  <w:r w:rsidR="00897E1A" w:rsidRPr="00704B50">
                    <w:rPr>
                      <w:rFonts w:hint="eastAsia"/>
                      <w:b/>
                      <w:bCs/>
                    </w:rPr>
                    <w:t>亿元</w:t>
                  </w:r>
                  <w:r>
                    <w:rPr>
                      <w:rFonts w:hint="eastAsia"/>
                      <w:b/>
                      <w:bCs/>
                    </w:rPr>
                    <w:t>；</w:t>
                  </w:r>
                </w:p>
                <w:p w14:paraId="701DF420" w14:textId="5740558D" w:rsidR="00C260B6" w:rsidRDefault="00075826" w:rsidP="00897E1A">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3</w:t>
                  </w:r>
                  <w:r>
                    <w:rPr>
                      <w:rFonts w:hint="eastAsia"/>
                    </w:rPr>
                    <w:t>）</w:t>
                  </w:r>
                  <w:r w:rsidRPr="00075826">
                    <w:rPr>
                      <w:rFonts w:hint="eastAsia"/>
                      <w:b/>
                      <w:bCs/>
                    </w:rPr>
                    <w:t>预计</w:t>
                  </w:r>
                  <w:r w:rsidR="00897E1A" w:rsidRPr="00075826">
                    <w:rPr>
                      <w:rFonts w:hint="eastAsia"/>
                      <w:b/>
                      <w:bCs/>
                    </w:rPr>
                    <w:t>市值</w:t>
                  </w:r>
                  <w:r w:rsidRPr="00075826">
                    <w:rPr>
                      <w:rFonts w:hint="eastAsia"/>
                      <w:b/>
                      <w:bCs/>
                    </w:rPr>
                    <w:t>≥</w:t>
                  </w:r>
                  <w:r w:rsidR="00897E1A" w:rsidRPr="00075826">
                    <w:rPr>
                      <w:rFonts w:hint="eastAsia"/>
                      <w:b/>
                      <w:bCs/>
                    </w:rPr>
                    <w:t xml:space="preserve">100 </w:t>
                  </w:r>
                  <w:r w:rsidR="00897E1A" w:rsidRPr="00075826">
                    <w:rPr>
                      <w:rFonts w:hint="eastAsia"/>
                      <w:b/>
                      <w:bCs/>
                    </w:rPr>
                    <w:t>亿元</w:t>
                  </w:r>
                  <w:r w:rsidR="00897E1A" w:rsidRPr="00897E1A">
                    <w:rPr>
                      <w:rFonts w:hint="eastAsia"/>
                    </w:rPr>
                    <w:t>，最近</w:t>
                  </w:r>
                  <w:r>
                    <w:rPr>
                      <w:rFonts w:hint="eastAsia"/>
                    </w:rPr>
                    <w:t>一</w:t>
                  </w:r>
                  <w:r w:rsidR="00897E1A" w:rsidRPr="00897E1A">
                    <w:rPr>
                      <w:rFonts w:hint="eastAsia"/>
                    </w:rPr>
                    <w:t>年净利润</w:t>
                  </w:r>
                  <w:r>
                    <w:rPr>
                      <w:rFonts w:hint="eastAsia"/>
                    </w:rPr>
                    <w:t>＞</w:t>
                  </w:r>
                  <w:r>
                    <w:rPr>
                      <w:rFonts w:hint="eastAsia"/>
                    </w:rPr>
                    <w:t>0</w:t>
                  </w:r>
                  <w:r w:rsidR="00897E1A" w:rsidRPr="00897E1A">
                    <w:rPr>
                      <w:rFonts w:hint="eastAsia"/>
                    </w:rPr>
                    <w:t>，</w:t>
                  </w:r>
                  <w:r w:rsidR="00897E1A" w:rsidRPr="00075826">
                    <w:rPr>
                      <w:rFonts w:hint="eastAsia"/>
                      <w:b/>
                      <w:bCs/>
                    </w:rPr>
                    <w:t>最近一年营业收入≥</w:t>
                  </w:r>
                  <w:r w:rsidR="00897E1A" w:rsidRPr="00075826">
                    <w:rPr>
                      <w:rFonts w:hint="eastAsia"/>
                      <w:b/>
                      <w:bCs/>
                    </w:rPr>
                    <w:t xml:space="preserve">10 </w:t>
                  </w:r>
                  <w:r w:rsidR="00897E1A" w:rsidRPr="00075826">
                    <w:rPr>
                      <w:rFonts w:hint="eastAsia"/>
                      <w:b/>
                      <w:bCs/>
                    </w:rPr>
                    <w:t>亿元</w:t>
                  </w:r>
                  <w:r>
                    <w:rPr>
                      <w:rFonts w:hint="eastAsia"/>
                      <w:b/>
                      <w:bCs/>
                    </w:rPr>
                    <w:t>。</w:t>
                  </w:r>
                </w:p>
              </w:tc>
              <w:tc>
                <w:tcPr>
                  <w:tcW w:w="2936" w:type="dxa"/>
                  <w:vAlign w:val="center"/>
                </w:tcPr>
                <w:p w14:paraId="7CF74A59" w14:textId="361EC97A" w:rsidR="00075826" w:rsidRDefault="00075826" w:rsidP="00A70D70">
                  <w:pPr>
                    <w:cnfStyle w:val="000000010000" w:firstRow="0" w:lastRow="0" w:firstColumn="0" w:lastColumn="0" w:oddVBand="0" w:evenVBand="0" w:oddHBand="0" w:evenHBand="1" w:firstRowFirstColumn="0" w:firstRowLastColumn="0" w:lastRowFirstColumn="0" w:lastRowLastColumn="0"/>
                  </w:pPr>
                  <w:r w:rsidRPr="00075826">
                    <w:rPr>
                      <w:rFonts w:hint="eastAsia"/>
                    </w:rPr>
                    <w:lastRenderedPageBreak/>
                    <w:t>【三</w:t>
                  </w:r>
                  <w:r>
                    <w:rPr>
                      <w:rFonts w:hint="eastAsia"/>
                    </w:rPr>
                    <w:t>套标准</w:t>
                  </w:r>
                  <w:r w:rsidR="006F4AE5">
                    <w:rPr>
                      <w:rFonts w:hint="eastAsia"/>
                    </w:rPr>
                    <w:t>选一</w:t>
                  </w:r>
                  <w:r w:rsidRPr="00075826">
                    <w:rPr>
                      <w:rFonts w:hint="eastAsia"/>
                    </w:rPr>
                    <w:t>】</w:t>
                  </w:r>
                  <w:r w:rsidRPr="00075826">
                    <w:rPr>
                      <w:rFonts w:hint="eastAsia"/>
                    </w:rPr>
                    <w:t>:</w:t>
                  </w:r>
                </w:p>
                <w:p w14:paraId="234C967E" w14:textId="44A57F99" w:rsidR="00075826" w:rsidRDefault="00075826" w:rsidP="00A70D70">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1</w:t>
                  </w:r>
                  <w:r>
                    <w:rPr>
                      <w:rFonts w:hint="eastAsia"/>
                    </w:rPr>
                    <w:t>）</w:t>
                  </w:r>
                  <w:r w:rsidRPr="00075826">
                    <w:rPr>
                      <w:rFonts w:hint="eastAsia"/>
                      <w:b/>
                      <w:bCs/>
                    </w:rPr>
                    <w:t>最近两年净利润均为正且累计≥</w:t>
                  </w:r>
                  <w:r w:rsidRPr="00075826">
                    <w:rPr>
                      <w:rFonts w:hint="eastAsia"/>
                      <w:b/>
                      <w:bCs/>
                    </w:rPr>
                    <w:t>1</w:t>
                  </w:r>
                  <w:r w:rsidRPr="00075826">
                    <w:rPr>
                      <w:rFonts w:hint="eastAsia"/>
                      <w:b/>
                      <w:bCs/>
                    </w:rPr>
                    <w:t>亿元</w:t>
                  </w:r>
                  <w:r w:rsidRPr="00075826">
                    <w:rPr>
                      <w:rFonts w:hint="eastAsia"/>
                    </w:rPr>
                    <w:t>，</w:t>
                  </w:r>
                  <w:r w:rsidRPr="00075826">
                    <w:rPr>
                      <w:rFonts w:hint="eastAsia"/>
                      <w:b/>
                      <w:bCs/>
                    </w:rPr>
                    <w:t>最近一年净</w:t>
                  </w:r>
                  <w:r w:rsidRPr="00075826">
                    <w:rPr>
                      <w:rFonts w:hint="eastAsia"/>
                      <w:b/>
                      <w:bCs/>
                    </w:rPr>
                    <w:lastRenderedPageBreak/>
                    <w:t>利润不低于</w:t>
                  </w:r>
                  <w:r w:rsidRPr="00075826">
                    <w:rPr>
                      <w:rFonts w:hint="eastAsia"/>
                      <w:b/>
                      <w:bCs/>
                    </w:rPr>
                    <w:t xml:space="preserve"> 6000 </w:t>
                  </w:r>
                  <w:r w:rsidRPr="00075826">
                    <w:rPr>
                      <w:rFonts w:hint="eastAsia"/>
                      <w:b/>
                      <w:bCs/>
                    </w:rPr>
                    <w:t>万元</w:t>
                  </w:r>
                  <w:r>
                    <w:rPr>
                      <w:rFonts w:hint="eastAsia"/>
                      <w:b/>
                      <w:bCs/>
                    </w:rPr>
                    <w:t>；</w:t>
                  </w:r>
                </w:p>
                <w:p w14:paraId="0E19F6DA" w14:textId="77777777" w:rsidR="00075826" w:rsidRDefault="00075826" w:rsidP="00A70D70">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2</w:t>
                  </w:r>
                  <w:r>
                    <w:rPr>
                      <w:rFonts w:hint="eastAsia"/>
                    </w:rPr>
                    <w:t>）</w:t>
                  </w:r>
                  <w:r w:rsidRPr="00075826">
                    <w:rPr>
                      <w:rFonts w:hint="eastAsia"/>
                      <w:b/>
                      <w:bCs/>
                    </w:rPr>
                    <w:t>预计市值≥</w:t>
                  </w:r>
                  <w:r w:rsidRPr="00075826">
                    <w:rPr>
                      <w:rFonts w:hint="eastAsia"/>
                      <w:b/>
                      <w:bCs/>
                    </w:rPr>
                    <w:t xml:space="preserve">15 </w:t>
                  </w:r>
                  <w:r w:rsidRPr="00075826">
                    <w:rPr>
                      <w:rFonts w:hint="eastAsia"/>
                      <w:b/>
                      <w:bCs/>
                    </w:rPr>
                    <w:t>亿元</w:t>
                  </w:r>
                  <w:r w:rsidRPr="00075826">
                    <w:rPr>
                      <w:rFonts w:hint="eastAsia"/>
                    </w:rPr>
                    <w:t>，最近一年净利润</w:t>
                  </w:r>
                  <w:r>
                    <w:rPr>
                      <w:rFonts w:hint="eastAsia"/>
                    </w:rPr>
                    <w:t>＞</w:t>
                  </w:r>
                  <w:r>
                    <w:rPr>
                      <w:rFonts w:hint="eastAsia"/>
                    </w:rPr>
                    <w:t>0</w:t>
                  </w:r>
                  <w:r w:rsidRPr="00075826">
                    <w:rPr>
                      <w:rFonts w:hint="eastAsia"/>
                    </w:rPr>
                    <w:t>且</w:t>
                  </w:r>
                  <w:r w:rsidRPr="00075826">
                    <w:rPr>
                      <w:rFonts w:hint="eastAsia"/>
                      <w:b/>
                      <w:bCs/>
                    </w:rPr>
                    <w:t>营业收入</w:t>
                  </w:r>
                  <w:r>
                    <w:rPr>
                      <w:rFonts w:hint="eastAsia"/>
                      <w:b/>
                      <w:bCs/>
                    </w:rPr>
                    <w:t>≥</w:t>
                  </w:r>
                  <w:r w:rsidRPr="00075826">
                    <w:rPr>
                      <w:rFonts w:hint="eastAsia"/>
                      <w:b/>
                      <w:bCs/>
                    </w:rPr>
                    <w:t xml:space="preserve">4 </w:t>
                  </w:r>
                  <w:r w:rsidRPr="00075826">
                    <w:rPr>
                      <w:rFonts w:hint="eastAsia"/>
                      <w:b/>
                      <w:bCs/>
                    </w:rPr>
                    <w:t>亿元</w:t>
                  </w:r>
                  <w:r>
                    <w:rPr>
                      <w:rFonts w:hint="eastAsia"/>
                    </w:rPr>
                    <w:t>；</w:t>
                  </w:r>
                </w:p>
                <w:p w14:paraId="482B74EC" w14:textId="75C5EA5E" w:rsidR="00C260B6" w:rsidRDefault="00075826" w:rsidP="00A70D70">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3</w:t>
                  </w:r>
                  <w:r>
                    <w:rPr>
                      <w:rFonts w:hint="eastAsia"/>
                    </w:rPr>
                    <w:t>）预计</w:t>
                  </w:r>
                  <w:r w:rsidRPr="00075826">
                    <w:rPr>
                      <w:rFonts w:hint="eastAsia"/>
                    </w:rPr>
                    <w:t>市值≥</w:t>
                  </w:r>
                  <w:r w:rsidRPr="00075826">
                    <w:rPr>
                      <w:rFonts w:hint="eastAsia"/>
                    </w:rPr>
                    <w:t xml:space="preserve">50 </w:t>
                  </w:r>
                  <w:r w:rsidRPr="00075826">
                    <w:rPr>
                      <w:rFonts w:hint="eastAsia"/>
                    </w:rPr>
                    <w:t>亿元，且最近一年营业收入≥</w:t>
                  </w:r>
                  <w:r w:rsidRPr="00075826">
                    <w:rPr>
                      <w:rFonts w:hint="eastAsia"/>
                    </w:rPr>
                    <w:t xml:space="preserve">3 </w:t>
                  </w:r>
                  <w:r w:rsidRPr="00075826">
                    <w:rPr>
                      <w:rFonts w:hint="eastAsia"/>
                    </w:rPr>
                    <w:t>亿元</w:t>
                  </w:r>
                  <w:r>
                    <w:rPr>
                      <w:rFonts w:hint="eastAsia"/>
                    </w:rPr>
                    <w:t>。</w:t>
                  </w:r>
                </w:p>
              </w:tc>
              <w:tc>
                <w:tcPr>
                  <w:tcW w:w="2936" w:type="dxa"/>
                  <w:vAlign w:val="center"/>
                </w:tcPr>
                <w:p w14:paraId="6C206269" w14:textId="79DEE96F" w:rsidR="00C260B6" w:rsidRDefault="00AD7626" w:rsidP="00A70D70">
                  <w:pPr>
                    <w:cnfStyle w:val="000000010000" w:firstRow="0" w:lastRow="0" w:firstColumn="0" w:lastColumn="0" w:oddVBand="0" w:evenVBand="0" w:oddHBand="0" w:evenHBand="1" w:firstRowFirstColumn="0" w:firstRowLastColumn="0" w:lastRowFirstColumn="0" w:lastRowLastColumn="0"/>
                  </w:pPr>
                  <w:r>
                    <w:rPr>
                      <w:rFonts w:hint="eastAsia"/>
                    </w:rPr>
                    <w:lastRenderedPageBreak/>
                    <w:t>【</w:t>
                  </w:r>
                  <w:r w:rsidRPr="00AD7626">
                    <w:rPr>
                      <w:rFonts w:hint="eastAsia"/>
                    </w:rPr>
                    <w:t>同时符合下列</w:t>
                  </w:r>
                  <w:r w:rsidR="00685421">
                    <w:rPr>
                      <w:rFonts w:hint="eastAsia"/>
                    </w:rPr>
                    <w:t>四</w:t>
                  </w:r>
                  <w:r w:rsidRPr="00AD7626">
                    <w:rPr>
                      <w:rFonts w:hint="eastAsia"/>
                    </w:rPr>
                    <w:t>项指标</w:t>
                  </w:r>
                  <w:r>
                    <w:rPr>
                      <w:rFonts w:hint="eastAsia"/>
                    </w:rPr>
                    <w:t>】：</w:t>
                  </w:r>
                </w:p>
                <w:p w14:paraId="6525FC53" w14:textId="4211495E" w:rsidR="00920B8E" w:rsidRPr="00920B8E" w:rsidRDefault="00920B8E" w:rsidP="00920B8E">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1</w:t>
                  </w:r>
                  <w:r>
                    <w:rPr>
                      <w:rFonts w:hint="eastAsia"/>
                    </w:rPr>
                    <w:t>）</w:t>
                  </w:r>
                  <w:r w:rsidRPr="00920B8E">
                    <w:rPr>
                      <w:rFonts w:hint="eastAsia"/>
                    </w:rPr>
                    <w:t>最近三年研发投入占营业收入比例</w:t>
                  </w:r>
                  <w:r w:rsidRPr="00920B8E">
                    <w:rPr>
                      <w:rFonts w:hint="eastAsia"/>
                    </w:rPr>
                    <w:t xml:space="preserve"> 5%</w:t>
                  </w:r>
                  <w:r w:rsidRPr="00920B8E">
                    <w:rPr>
                      <w:rFonts w:hint="eastAsia"/>
                    </w:rPr>
                    <w:t>以上，</w:t>
                  </w:r>
                  <w:r w:rsidRPr="00920B8E">
                    <w:rPr>
                      <w:rFonts w:hint="eastAsia"/>
                      <w:b/>
                      <w:bCs/>
                    </w:rPr>
                    <w:t>或最近</w:t>
                  </w:r>
                  <w:r w:rsidRPr="00920B8E">
                    <w:rPr>
                      <w:rFonts w:hint="eastAsia"/>
                      <w:b/>
                      <w:bCs/>
                    </w:rPr>
                    <w:lastRenderedPageBreak/>
                    <w:t>三年研发投入金额累计在</w:t>
                  </w:r>
                  <w:r w:rsidRPr="00920B8E">
                    <w:rPr>
                      <w:rFonts w:hint="eastAsia"/>
                      <w:b/>
                      <w:bCs/>
                    </w:rPr>
                    <w:t xml:space="preserve"> 8000</w:t>
                  </w:r>
                  <w:r w:rsidRPr="00920B8E">
                    <w:rPr>
                      <w:rFonts w:hint="eastAsia"/>
                      <w:b/>
                      <w:bCs/>
                    </w:rPr>
                    <w:t>万元以上</w:t>
                  </w:r>
                  <w:r w:rsidRPr="00920B8E">
                    <w:rPr>
                      <w:rFonts w:hint="eastAsia"/>
                    </w:rPr>
                    <w:t xml:space="preserve">; </w:t>
                  </w:r>
                </w:p>
                <w:p w14:paraId="7D4DF7C8" w14:textId="30C97B5A" w:rsidR="00920B8E" w:rsidRPr="00920B8E" w:rsidRDefault="00920B8E" w:rsidP="00920B8E">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2</w:t>
                  </w:r>
                  <w:r>
                    <w:rPr>
                      <w:rFonts w:hint="eastAsia"/>
                    </w:rPr>
                    <w:t>）</w:t>
                  </w:r>
                  <w:r w:rsidRPr="00920B8E">
                    <w:rPr>
                      <w:rFonts w:hint="eastAsia"/>
                    </w:rPr>
                    <w:t>研发人员占当年员工总数的比例不低于</w:t>
                  </w:r>
                  <w:r w:rsidRPr="00920B8E">
                    <w:rPr>
                      <w:rFonts w:hint="eastAsia"/>
                    </w:rPr>
                    <w:t xml:space="preserve"> 10%</w:t>
                  </w:r>
                  <w:r>
                    <w:rPr>
                      <w:rFonts w:hint="eastAsia"/>
                    </w:rPr>
                    <w:t>；</w:t>
                  </w:r>
                </w:p>
                <w:p w14:paraId="3327A89F" w14:textId="106A84B5" w:rsidR="00920B8E" w:rsidRPr="00920B8E" w:rsidRDefault="00920B8E" w:rsidP="00920B8E">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3</w:t>
                  </w:r>
                  <w:r>
                    <w:rPr>
                      <w:rFonts w:hint="eastAsia"/>
                    </w:rPr>
                    <w:t>）</w:t>
                  </w:r>
                  <w:r w:rsidRPr="00920B8E">
                    <w:rPr>
                      <w:rFonts w:hint="eastAsia"/>
                      <w:b/>
                      <w:bCs/>
                    </w:rPr>
                    <w:t>应用于公司主营业务的发明专利</w:t>
                  </w:r>
                  <w:r w:rsidRPr="00920B8E">
                    <w:rPr>
                      <w:rFonts w:hint="eastAsia"/>
                      <w:b/>
                      <w:bCs/>
                    </w:rPr>
                    <w:t>7</w:t>
                  </w:r>
                  <w:r w:rsidRPr="00920B8E">
                    <w:rPr>
                      <w:rFonts w:hint="eastAsia"/>
                      <w:b/>
                      <w:bCs/>
                    </w:rPr>
                    <w:t>项以上</w:t>
                  </w:r>
                  <w:r w:rsidRPr="00920B8E">
                    <w:rPr>
                      <w:rFonts w:hint="eastAsia"/>
                    </w:rPr>
                    <w:t>；</w:t>
                  </w:r>
                </w:p>
                <w:p w14:paraId="463160F8" w14:textId="574B4B38" w:rsidR="00AD7626" w:rsidRDefault="00920B8E" w:rsidP="00920B8E">
                  <w:pPr>
                    <w:cnfStyle w:val="000000010000" w:firstRow="0" w:lastRow="0" w:firstColumn="0" w:lastColumn="0" w:oddVBand="0" w:evenVBand="0" w:oddHBand="0" w:evenHBand="1" w:firstRowFirstColumn="0" w:firstRowLastColumn="0" w:lastRowFirstColumn="0" w:lastRowLastColumn="0"/>
                  </w:pPr>
                  <w:r>
                    <w:rPr>
                      <w:rFonts w:hint="eastAsia"/>
                    </w:rPr>
                    <w:t>（</w:t>
                  </w:r>
                  <w:r>
                    <w:rPr>
                      <w:rFonts w:hint="eastAsia"/>
                    </w:rPr>
                    <w:t>4</w:t>
                  </w:r>
                  <w:r>
                    <w:rPr>
                      <w:rFonts w:hint="eastAsia"/>
                    </w:rPr>
                    <w:t>）</w:t>
                  </w:r>
                  <w:r w:rsidRPr="00920B8E">
                    <w:rPr>
                      <w:rFonts w:hint="eastAsia"/>
                      <w:b/>
                      <w:bCs/>
                    </w:rPr>
                    <w:t>最近三年营业收入复合增长率达到</w:t>
                  </w:r>
                  <w:r w:rsidRPr="00920B8E">
                    <w:rPr>
                      <w:rFonts w:hint="eastAsia"/>
                      <w:b/>
                      <w:bCs/>
                    </w:rPr>
                    <w:t>25%</w:t>
                  </w:r>
                  <w:r w:rsidRPr="00920B8E">
                    <w:rPr>
                      <w:rFonts w:hint="eastAsia"/>
                    </w:rPr>
                    <w:t>，或最近一年营业收入金额达到</w:t>
                  </w:r>
                  <w:r w:rsidRPr="00920B8E">
                    <w:rPr>
                      <w:rFonts w:hint="eastAsia"/>
                    </w:rPr>
                    <w:t xml:space="preserve">3 </w:t>
                  </w:r>
                  <w:r w:rsidRPr="00920B8E">
                    <w:rPr>
                      <w:rFonts w:hint="eastAsia"/>
                    </w:rPr>
                    <w:t>亿元。</w:t>
                  </w:r>
                </w:p>
              </w:tc>
            </w:tr>
          </w:tbl>
          <w:p w14:paraId="649B39E5" w14:textId="77777777" w:rsidR="00C260B6" w:rsidRDefault="00C260B6" w:rsidP="00A70D70">
            <w:pPr>
              <w:tabs>
                <w:tab w:val="left" w:pos="720"/>
              </w:tabs>
              <w:autoSpaceDE w:val="0"/>
              <w:autoSpaceDN w:val="0"/>
              <w:adjustRightInd w:val="0"/>
              <w:ind w:right="18"/>
              <w:jc w:val="left"/>
              <w:outlineLvl w:val="0"/>
              <w:rPr>
                <w:rFonts w:ascii="楷体" w:eastAsia="楷体" w:hAnsi="楷体"/>
                <w:color w:val="800000"/>
                <w:sz w:val="24"/>
              </w:rPr>
            </w:pPr>
          </w:p>
        </w:tc>
      </w:tr>
      <w:tr w:rsidR="00C260B6" w14:paraId="49442BF5" w14:textId="77777777" w:rsidTr="00A70D70">
        <w:trPr>
          <w:trHeight w:val="283"/>
          <w:jc w:val="center"/>
        </w:trPr>
        <w:tc>
          <w:tcPr>
            <w:tcW w:w="10205" w:type="dxa"/>
            <w:tcBorders>
              <w:top w:val="single" w:sz="12" w:space="0" w:color="auto"/>
            </w:tcBorders>
            <w:shd w:val="clear" w:color="auto" w:fill="auto"/>
          </w:tcPr>
          <w:p w14:paraId="198A4474" w14:textId="2542986D" w:rsidR="00C260B6" w:rsidRDefault="00C260B6" w:rsidP="00A70D70">
            <w:pPr>
              <w:tabs>
                <w:tab w:val="left" w:pos="720"/>
              </w:tabs>
              <w:autoSpaceDE w:val="0"/>
              <w:autoSpaceDN w:val="0"/>
              <w:adjustRightInd w:val="0"/>
              <w:ind w:right="18"/>
              <w:jc w:val="left"/>
              <w:rPr>
                <w:rFonts w:ascii="楷体_GB2312" w:eastAsia="楷体_GB2312" w:hAnsi="楷体"/>
                <w:i/>
                <w:color w:val="000000"/>
                <w:sz w:val="18"/>
                <w:szCs w:val="18"/>
              </w:rPr>
            </w:pPr>
            <w:r w:rsidRPr="00FA41D0">
              <w:rPr>
                <w:rFonts w:ascii="楷体_GB2312" w:eastAsia="楷体_GB2312" w:hAnsi="楷体" w:hint="eastAsia"/>
                <w:i/>
                <w:color w:val="000000"/>
                <w:sz w:val="18"/>
                <w:szCs w:val="18"/>
              </w:rPr>
              <w:lastRenderedPageBreak/>
              <w:t>资料来源：</w:t>
            </w:r>
            <w:r>
              <w:rPr>
                <w:rFonts w:ascii="楷体_GB2312" w:eastAsia="楷体_GB2312" w:hAnsi="楷体" w:hint="eastAsia"/>
                <w:i/>
                <w:color w:val="000000"/>
                <w:sz w:val="18"/>
                <w:szCs w:val="18"/>
              </w:rPr>
              <w:t>证监会官网、沪深交易所官网、</w:t>
            </w:r>
            <w:r w:rsidRPr="00FA41D0">
              <w:rPr>
                <w:rFonts w:ascii="楷体_GB2312" w:eastAsia="楷体_GB2312" w:hAnsi="楷体" w:hint="eastAsia"/>
                <w:i/>
                <w:color w:val="000000"/>
                <w:sz w:val="18"/>
                <w:szCs w:val="18"/>
              </w:rPr>
              <w:t>万联证券研究所</w:t>
            </w:r>
            <w:r>
              <w:rPr>
                <w:rFonts w:ascii="楷体_GB2312" w:eastAsia="楷体_GB2312" w:hAnsi="楷体" w:hint="eastAsia"/>
                <w:i/>
                <w:color w:val="000000"/>
                <w:sz w:val="18"/>
                <w:szCs w:val="18"/>
              </w:rPr>
              <w:t>整理</w:t>
            </w:r>
          </w:p>
          <w:p w14:paraId="6870C50B" w14:textId="77777777" w:rsidR="00C260B6" w:rsidRPr="00FA41D0" w:rsidRDefault="00C260B6" w:rsidP="00A70D70">
            <w:pPr>
              <w:tabs>
                <w:tab w:val="left" w:pos="720"/>
              </w:tabs>
              <w:autoSpaceDE w:val="0"/>
              <w:autoSpaceDN w:val="0"/>
              <w:adjustRightInd w:val="0"/>
              <w:ind w:right="18"/>
              <w:jc w:val="left"/>
              <w:rPr>
                <w:rFonts w:ascii="楷体_GB2312" w:eastAsia="楷体_GB2312" w:hAnsi="楷体"/>
                <w:i/>
                <w:color w:val="000000"/>
                <w:sz w:val="18"/>
                <w:szCs w:val="18"/>
              </w:rPr>
            </w:pPr>
          </w:p>
        </w:tc>
      </w:tr>
    </w:tbl>
    <w:p w14:paraId="594AE060" w14:textId="43FC619B" w:rsidR="00CF42C3" w:rsidRDefault="00BC327F" w:rsidP="00BC327F">
      <w:pPr>
        <w:pStyle w:val="a7"/>
        <w:spacing w:before="156" w:after="156"/>
        <w:ind w:left="2520"/>
        <w:rPr>
          <w:color w:val="000000" w:themeColor="text1"/>
        </w:rPr>
      </w:pPr>
      <w:r w:rsidRPr="00BC327F">
        <w:rPr>
          <w:rFonts w:hint="eastAsia"/>
          <w:color w:val="000000" w:themeColor="text1"/>
        </w:rPr>
        <w:t>证监会同步修订了《中国证监会随机抽查事项清单》，将首发企业随机抽取检查的比例由</w:t>
      </w:r>
      <w:r w:rsidRPr="00BC327F">
        <w:rPr>
          <w:color w:val="000000" w:themeColor="text1"/>
        </w:rPr>
        <w:t>5%</w:t>
      </w:r>
      <w:r w:rsidRPr="00BC327F">
        <w:rPr>
          <w:rFonts w:hint="eastAsia"/>
          <w:color w:val="000000" w:themeColor="text1"/>
        </w:rPr>
        <w:t>大幅提升至20%，并相应提高问题导向现场检查和交易所现场督导的比例，调整后，现场检查和督导整体比例将不低于三分之一。</w:t>
      </w:r>
    </w:p>
    <w:p w14:paraId="789E8577" w14:textId="5569DCDD" w:rsidR="00BC327F" w:rsidRPr="00CF42C3" w:rsidRDefault="00BC327F" w:rsidP="00BC327F">
      <w:pPr>
        <w:pStyle w:val="a7"/>
        <w:spacing w:before="156" w:after="156"/>
        <w:ind w:left="2520"/>
        <w:rPr>
          <w:b/>
          <w:bCs/>
          <w:color w:val="000000" w:themeColor="text1"/>
        </w:rPr>
      </w:pPr>
      <w:r w:rsidRPr="00CF42C3">
        <w:rPr>
          <w:rFonts w:hint="eastAsia"/>
          <w:b/>
          <w:bCs/>
          <w:color w:val="000000" w:themeColor="text1"/>
        </w:rPr>
        <w:t>总体看，意见及证监会配套文件提出提高主板、创业板上市标准，</w:t>
      </w:r>
      <w:proofErr w:type="gramStart"/>
      <w:r w:rsidRPr="00CF42C3">
        <w:rPr>
          <w:rFonts w:hint="eastAsia"/>
          <w:b/>
          <w:bCs/>
          <w:color w:val="000000" w:themeColor="text1"/>
        </w:rPr>
        <w:t>完善科创板科创</w:t>
      </w:r>
      <w:proofErr w:type="gramEnd"/>
      <w:r w:rsidRPr="00CF42C3">
        <w:rPr>
          <w:rFonts w:hint="eastAsia"/>
          <w:b/>
          <w:bCs/>
          <w:color w:val="000000" w:themeColor="text1"/>
        </w:rPr>
        <w:t>属性评价标准。同时，强调扩大现场检查覆盖面，大幅提高首发企业随机抽取检查的比例，严格再融资审核把关等。将进一步压实发行人第一责任和中介机构“看门人”责任。对欺诈发行、</w:t>
      </w:r>
      <w:proofErr w:type="gramStart"/>
      <w:r w:rsidRPr="00CF42C3">
        <w:rPr>
          <w:rFonts w:hint="eastAsia"/>
          <w:b/>
          <w:bCs/>
          <w:color w:val="000000" w:themeColor="text1"/>
        </w:rPr>
        <w:t>高价超募</w:t>
      </w:r>
      <w:proofErr w:type="gramEnd"/>
      <w:r w:rsidRPr="00CF42C3">
        <w:rPr>
          <w:rFonts w:hint="eastAsia"/>
          <w:b/>
          <w:bCs/>
          <w:color w:val="000000" w:themeColor="text1"/>
        </w:rPr>
        <w:t>、抱团压价等违法问题及市场乱象释放更为明确的严监管信号。预计A股发行上市制度将更加完善、更趋精细化，加强对发行上市环节的约束与引导。</w:t>
      </w:r>
    </w:p>
    <w:p w14:paraId="6C435EE0" w14:textId="5EA6B608" w:rsidR="00C12A3C" w:rsidRDefault="00C12A3C" w:rsidP="00C12A3C">
      <w:pPr>
        <w:pStyle w:val="a0"/>
      </w:pPr>
      <w:bookmarkStart w:id="19" w:name="_Toc163928346"/>
      <w:r>
        <w:rPr>
          <w:rFonts w:hint="eastAsia"/>
        </w:rPr>
        <w:t>上市公司日常监管标准更为细致，减持、分红、市值管理等规定进一步明晰</w:t>
      </w:r>
      <w:bookmarkEnd w:id="19"/>
    </w:p>
    <w:p w14:paraId="3A5788EF" w14:textId="3C19CA2D" w:rsidR="001D2592" w:rsidRDefault="00BC327F" w:rsidP="00BC327F">
      <w:pPr>
        <w:pStyle w:val="a7"/>
        <w:spacing w:before="156" w:after="156"/>
        <w:ind w:left="2520"/>
        <w:rPr>
          <w:color w:val="000000" w:themeColor="text1"/>
        </w:rPr>
      </w:pPr>
      <w:r w:rsidRPr="00BC327F">
        <w:rPr>
          <w:rFonts w:hint="eastAsia"/>
          <w:color w:val="000000" w:themeColor="text1"/>
        </w:rPr>
        <w:t>上市公司日常监管方面，针对减持、分红、市值管理等市场关注热点，</w:t>
      </w:r>
      <w:r w:rsidR="008031F2">
        <w:rPr>
          <w:rFonts w:hint="eastAsia"/>
          <w:color w:val="000000" w:themeColor="text1"/>
        </w:rPr>
        <w:t>新“国九条”</w:t>
      </w:r>
      <w:r w:rsidRPr="00BC327F">
        <w:rPr>
          <w:rFonts w:hint="eastAsia"/>
          <w:color w:val="000000" w:themeColor="text1"/>
        </w:rPr>
        <w:t>分别提出要求。其中，对于减持，意见明确出台上市公司减持管理办法，对不同类型股东分类施策，坚决防范各类绕道减持。</w:t>
      </w:r>
    </w:p>
    <w:p w14:paraId="7897BA7B" w14:textId="77777777" w:rsidR="00055BA7" w:rsidRDefault="00BC327F" w:rsidP="00055BA7">
      <w:pPr>
        <w:pStyle w:val="a7"/>
        <w:spacing w:before="156" w:after="156"/>
        <w:ind w:left="2520"/>
        <w:rPr>
          <w:b/>
          <w:bCs/>
          <w:color w:val="000000" w:themeColor="text1"/>
        </w:rPr>
      </w:pPr>
      <w:r w:rsidRPr="00BC327F">
        <w:rPr>
          <w:rFonts w:hint="eastAsia"/>
          <w:color w:val="000000" w:themeColor="text1"/>
        </w:rPr>
        <w:t>证监会制定《上市公司股东减持股份管理办法》，同步修订《上市公司董事、监事和高级管理人员所持本公司股份及其变动管理规则》。</w:t>
      </w:r>
      <w:r w:rsidRPr="0064288B">
        <w:rPr>
          <w:rFonts w:hint="eastAsia"/>
          <w:b/>
          <w:bCs/>
          <w:color w:val="000000" w:themeColor="text1"/>
        </w:rPr>
        <w:t>在严格规范大股东减持、有效防范绕道减持、细化违规责任条款、强化关键主体义务等方面进行针对性完善。吸收</w:t>
      </w:r>
      <w:proofErr w:type="gramStart"/>
      <w:r w:rsidRPr="0064288B">
        <w:rPr>
          <w:rFonts w:hint="eastAsia"/>
          <w:b/>
          <w:bCs/>
          <w:color w:val="000000" w:themeColor="text1"/>
        </w:rPr>
        <w:t>整合原减</w:t>
      </w:r>
      <w:proofErr w:type="gramEnd"/>
      <w:r w:rsidRPr="0064288B">
        <w:rPr>
          <w:rFonts w:hint="eastAsia"/>
          <w:b/>
          <w:bCs/>
          <w:color w:val="000000" w:themeColor="text1"/>
        </w:rPr>
        <w:t>持规定中有关规范</w:t>
      </w:r>
      <w:proofErr w:type="gramStart"/>
      <w:r w:rsidRPr="0064288B">
        <w:rPr>
          <w:rFonts w:hint="eastAsia"/>
          <w:b/>
          <w:bCs/>
          <w:color w:val="000000" w:themeColor="text1"/>
        </w:rPr>
        <w:t>董监高减</w:t>
      </w:r>
      <w:proofErr w:type="gramEnd"/>
      <w:r w:rsidRPr="0064288B">
        <w:rPr>
          <w:rFonts w:hint="eastAsia"/>
          <w:b/>
          <w:bCs/>
          <w:color w:val="000000" w:themeColor="text1"/>
        </w:rPr>
        <w:t>持股份的要求，进一步明确规定离婚分割股票后各方共同遵守原有减持限制。</w:t>
      </w:r>
    </w:p>
    <w:p w14:paraId="468FC704" w14:textId="77777777" w:rsidR="00055BA7" w:rsidRDefault="00D92B20" w:rsidP="00055BA7">
      <w:pPr>
        <w:pStyle w:val="a7"/>
        <w:spacing w:before="156" w:after="156"/>
        <w:ind w:left="2520"/>
        <w:rPr>
          <w:color w:val="000000" w:themeColor="text1"/>
        </w:rPr>
      </w:pPr>
      <w:r>
        <w:rPr>
          <w:rFonts w:hint="eastAsia"/>
          <w:color w:val="000000" w:themeColor="text1"/>
        </w:rPr>
        <w:t>具体看：</w:t>
      </w:r>
    </w:p>
    <w:p w14:paraId="76817665" w14:textId="77777777" w:rsidR="00055BA7" w:rsidRDefault="00055BA7" w:rsidP="00055BA7">
      <w:pPr>
        <w:pStyle w:val="a7"/>
        <w:spacing w:before="156" w:after="156"/>
        <w:ind w:left="2520"/>
        <w:rPr>
          <w:color w:val="000000" w:themeColor="text1"/>
        </w:rPr>
      </w:pPr>
      <w:r w:rsidRPr="00055BA7">
        <w:rPr>
          <w:rFonts w:hint="eastAsia"/>
          <w:b/>
          <w:bCs/>
          <w:color w:val="000000" w:themeColor="text1"/>
        </w:rPr>
        <w:t>一是强化大股东减持要求。</w:t>
      </w:r>
      <w:r w:rsidR="00D56DC6">
        <w:rPr>
          <w:rFonts w:hint="eastAsia"/>
          <w:color w:val="000000" w:themeColor="text1"/>
        </w:rPr>
        <w:t>（1）</w:t>
      </w:r>
      <w:r w:rsidR="00D56DC6" w:rsidRPr="00D56DC6">
        <w:rPr>
          <w:rFonts w:hint="eastAsia"/>
          <w:color w:val="000000" w:themeColor="text1"/>
        </w:rPr>
        <w:t>公司存在破发、破净、分红不达标的</w:t>
      </w:r>
      <w:r w:rsidR="00D56DC6">
        <w:rPr>
          <w:rFonts w:hint="eastAsia"/>
          <w:color w:val="000000" w:themeColor="text1"/>
        </w:rPr>
        <w:t>，</w:t>
      </w:r>
      <w:r w:rsidR="00D56DC6" w:rsidRPr="00D56DC6">
        <w:rPr>
          <w:rFonts w:hint="eastAsia"/>
          <w:color w:val="000000" w:themeColor="text1"/>
        </w:rPr>
        <w:t>控股股东</w:t>
      </w:r>
      <w:r w:rsidR="00D56DC6">
        <w:rPr>
          <w:rFonts w:hint="eastAsia"/>
          <w:color w:val="000000" w:themeColor="text1"/>
        </w:rPr>
        <w:t>、</w:t>
      </w:r>
      <w:proofErr w:type="gramStart"/>
      <w:r w:rsidR="00D56DC6">
        <w:rPr>
          <w:rFonts w:hint="eastAsia"/>
          <w:color w:val="000000" w:themeColor="text1"/>
        </w:rPr>
        <w:t>实</w:t>
      </w:r>
      <w:r w:rsidR="00D56DC6" w:rsidRPr="00D56DC6">
        <w:rPr>
          <w:rFonts w:hint="eastAsia"/>
          <w:color w:val="000000" w:themeColor="text1"/>
        </w:rPr>
        <w:t>控人不得</w:t>
      </w:r>
      <w:proofErr w:type="gramEnd"/>
      <w:r w:rsidR="00D56DC6" w:rsidRPr="00D56DC6">
        <w:rPr>
          <w:rFonts w:hint="eastAsia"/>
          <w:color w:val="000000" w:themeColor="text1"/>
        </w:rPr>
        <w:t>通过二级市场减持;</w:t>
      </w:r>
      <w:r w:rsidR="00D56DC6">
        <w:rPr>
          <w:rFonts w:hint="eastAsia"/>
          <w:color w:val="000000" w:themeColor="text1"/>
        </w:rPr>
        <w:t>（2）</w:t>
      </w:r>
      <w:r w:rsidR="00D56DC6" w:rsidRPr="00D56DC6">
        <w:rPr>
          <w:rFonts w:hint="eastAsia"/>
          <w:color w:val="000000" w:themeColor="text1"/>
        </w:rPr>
        <w:t>股东及其一致行动人合并持股5%以上的，</w:t>
      </w:r>
      <w:proofErr w:type="gramStart"/>
      <w:r w:rsidR="00D56DC6" w:rsidRPr="00D56DC6">
        <w:rPr>
          <w:rFonts w:hint="eastAsia"/>
          <w:color w:val="000000" w:themeColor="text1"/>
        </w:rPr>
        <w:t>适用大</w:t>
      </w:r>
      <w:proofErr w:type="gramEnd"/>
      <w:r w:rsidR="00D56DC6" w:rsidRPr="00D56DC6">
        <w:rPr>
          <w:rFonts w:hint="eastAsia"/>
          <w:color w:val="000000" w:themeColor="text1"/>
        </w:rPr>
        <w:t>股东减持规定;</w:t>
      </w:r>
      <w:r w:rsidR="00D56DC6">
        <w:rPr>
          <w:rFonts w:hint="eastAsia"/>
          <w:color w:val="000000" w:themeColor="text1"/>
        </w:rPr>
        <w:t>（3）</w:t>
      </w:r>
      <w:r w:rsidR="00D56DC6" w:rsidRPr="00D56DC6">
        <w:rPr>
          <w:rFonts w:hint="eastAsia"/>
          <w:color w:val="000000" w:themeColor="text1"/>
        </w:rPr>
        <w:t>解除一致行动关系的，6个月内继续共同遵守大股东减持规定。</w:t>
      </w:r>
    </w:p>
    <w:p w14:paraId="25FBBDBD" w14:textId="14D2CFFA" w:rsidR="00D92B20" w:rsidRDefault="00055BA7" w:rsidP="00055BA7">
      <w:pPr>
        <w:pStyle w:val="a7"/>
        <w:spacing w:before="156" w:after="156"/>
        <w:ind w:left="2520"/>
        <w:rPr>
          <w:color w:val="000000" w:themeColor="text1"/>
        </w:rPr>
      </w:pPr>
      <w:r w:rsidRPr="00055BA7">
        <w:rPr>
          <w:rFonts w:hint="eastAsia"/>
          <w:b/>
          <w:bCs/>
          <w:color w:val="000000" w:themeColor="text1"/>
        </w:rPr>
        <w:t>二是严防利用融券、转融通绕道减持</w:t>
      </w:r>
      <w:r>
        <w:rPr>
          <w:rFonts w:hint="eastAsia"/>
          <w:b/>
          <w:bCs/>
          <w:color w:val="000000" w:themeColor="text1"/>
        </w:rPr>
        <w:t>。</w:t>
      </w:r>
      <w:r w:rsidRPr="00055BA7">
        <w:rPr>
          <w:rFonts w:hint="eastAsia"/>
          <w:color w:val="000000" w:themeColor="text1"/>
        </w:rPr>
        <w:t>（1）大股东、董</w:t>
      </w:r>
      <w:proofErr w:type="gramStart"/>
      <w:r w:rsidRPr="00055BA7">
        <w:rPr>
          <w:rFonts w:hint="eastAsia"/>
          <w:color w:val="000000" w:themeColor="text1"/>
        </w:rPr>
        <w:t>监高不得</w:t>
      </w:r>
      <w:proofErr w:type="gramEnd"/>
      <w:r w:rsidRPr="00055BA7">
        <w:rPr>
          <w:rFonts w:hint="eastAsia"/>
          <w:color w:val="000000" w:themeColor="text1"/>
        </w:rPr>
        <w:t>融券卖出公司股份，不得开展以公司股份为标的物的衍生品交易;</w:t>
      </w:r>
      <w:r>
        <w:rPr>
          <w:rFonts w:hint="eastAsia"/>
          <w:color w:val="000000" w:themeColor="text1"/>
        </w:rPr>
        <w:t>（2）</w:t>
      </w:r>
      <w:r w:rsidRPr="00055BA7">
        <w:rPr>
          <w:rFonts w:hint="eastAsia"/>
          <w:color w:val="000000" w:themeColor="text1"/>
        </w:rPr>
        <w:t>限售股不得通过转融通出借，限售股股东不得融券卖出公司股份;</w:t>
      </w:r>
      <w:r>
        <w:rPr>
          <w:rFonts w:hint="eastAsia"/>
          <w:color w:val="000000" w:themeColor="text1"/>
        </w:rPr>
        <w:t>（3）</w:t>
      </w:r>
      <w:r w:rsidRPr="00055BA7">
        <w:rPr>
          <w:rFonts w:hint="eastAsia"/>
          <w:color w:val="000000" w:themeColor="text1"/>
        </w:rPr>
        <w:t>股东在获得限售股前，应了结公司股份融券合约。</w:t>
      </w:r>
    </w:p>
    <w:p w14:paraId="630175FB" w14:textId="5032E8C5" w:rsidR="00055BA7" w:rsidRPr="00055BA7" w:rsidRDefault="00055BA7" w:rsidP="00055BA7">
      <w:pPr>
        <w:pStyle w:val="a7"/>
        <w:spacing w:before="156" w:after="156"/>
        <w:ind w:left="2520"/>
        <w:rPr>
          <w:b/>
          <w:bCs/>
          <w:color w:val="000000" w:themeColor="text1"/>
        </w:rPr>
      </w:pPr>
      <w:r w:rsidRPr="00055BA7">
        <w:rPr>
          <w:rFonts w:hint="eastAsia"/>
          <w:b/>
          <w:bCs/>
          <w:color w:val="000000" w:themeColor="text1"/>
        </w:rPr>
        <w:t>三是强化协议转让、</w:t>
      </w:r>
      <w:proofErr w:type="gramStart"/>
      <w:r w:rsidRPr="00055BA7">
        <w:rPr>
          <w:rFonts w:hint="eastAsia"/>
          <w:b/>
          <w:bCs/>
          <w:color w:val="000000" w:themeColor="text1"/>
        </w:rPr>
        <w:t>非交易</w:t>
      </w:r>
      <w:proofErr w:type="gramEnd"/>
      <w:r w:rsidRPr="00055BA7">
        <w:rPr>
          <w:rFonts w:hint="eastAsia"/>
          <w:b/>
          <w:bCs/>
          <w:color w:val="000000" w:themeColor="text1"/>
        </w:rPr>
        <w:t>过户监管要求</w:t>
      </w:r>
      <w:r>
        <w:rPr>
          <w:rFonts w:hint="eastAsia"/>
          <w:b/>
          <w:bCs/>
          <w:color w:val="000000" w:themeColor="text1"/>
        </w:rPr>
        <w:t>。</w:t>
      </w:r>
      <w:r w:rsidRPr="00055BA7">
        <w:rPr>
          <w:rFonts w:hint="eastAsia"/>
          <w:color w:val="000000" w:themeColor="text1"/>
        </w:rPr>
        <w:t>（1）受让方在6个月内不得减持其所受让的股份;（2）因转让行为失去大股东或控股股东、</w:t>
      </w:r>
      <w:proofErr w:type="gramStart"/>
      <w:r w:rsidRPr="00055BA7">
        <w:rPr>
          <w:rFonts w:hint="eastAsia"/>
          <w:color w:val="000000" w:themeColor="text1"/>
        </w:rPr>
        <w:t>实控人身份</w:t>
      </w:r>
      <w:proofErr w:type="gramEnd"/>
      <w:r w:rsidRPr="00055BA7">
        <w:rPr>
          <w:rFonts w:hint="eastAsia"/>
          <w:color w:val="000000" w:themeColor="text1"/>
        </w:rPr>
        <w:t>的，其6个月内要继续</w:t>
      </w:r>
      <w:r w:rsidRPr="00055BA7">
        <w:rPr>
          <w:rFonts w:hint="eastAsia"/>
          <w:color w:val="000000" w:themeColor="text1"/>
        </w:rPr>
        <w:lastRenderedPageBreak/>
        <w:t>遵守相关减持额度、预披露等要求。</w:t>
      </w:r>
    </w:p>
    <w:p w14:paraId="49207AFE" w14:textId="0DC1EEB8" w:rsidR="00055BA7" w:rsidRDefault="00055BA7" w:rsidP="00055BA7">
      <w:pPr>
        <w:pStyle w:val="a7"/>
        <w:spacing w:before="156" w:after="156"/>
        <w:ind w:left="2520"/>
        <w:rPr>
          <w:color w:val="000000" w:themeColor="text1"/>
        </w:rPr>
      </w:pPr>
      <w:r w:rsidRPr="00055BA7">
        <w:rPr>
          <w:rFonts w:hint="eastAsia"/>
          <w:b/>
          <w:bCs/>
          <w:color w:val="000000" w:themeColor="text1"/>
        </w:rPr>
        <w:t>四是优化信息披露要求。</w:t>
      </w:r>
      <w:r>
        <w:rPr>
          <w:rFonts w:hint="eastAsia"/>
          <w:color w:val="000000" w:themeColor="text1"/>
        </w:rPr>
        <w:t>（1）</w:t>
      </w:r>
      <w:r w:rsidRPr="00055BA7">
        <w:rPr>
          <w:rFonts w:hint="eastAsia"/>
          <w:color w:val="000000" w:themeColor="text1"/>
        </w:rPr>
        <w:t>董监高、大股东通过二级市场减持的，应提前15个交易日披露减持计划，减</w:t>
      </w:r>
      <w:proofErr w:type="gramStart"/>
      <w:r w:rsidRPr="00055BA7">
        <w:rPr>
          <w:rFonts w:hint="eastAsia"/>
          <w:color w:val="000000" w:themeColor="text1"/>
        </w:rPr>
        <w:t>持计划</w:t>
      </w:r>
      <w:proofErr w:type="gramEnd"/>
      <w:r w:rsidRPr="00055BA7">
        <w:rPr>
          <w:rFonts w:hint="eastAsia"/>
          <w:color w:val="000000" w:themeColor="text1"/>
        </w:rPr>
        <w:t>时间区间由最长6个月缩减为3个月。</w:t>
      </w:r>
    </w:p>
    <w:p w14:paraId="7A19EEC3" w14:textId="12F729B6" w:rsidR="00692864" w:rsidRPr="00692864" w:rsidRDefault="00F26A3C" w:rsidP="00E96A87">
      <w:pPr>
        <w:pStyle w:val="a7"/>
        <w:spacing w:before="156" w:after="156"/>
        <w:ind w:left="2520"/>
        <w:rPr>
          <w:color w:val="000000" w:themeColor="text1"/>
        </w:rPr>
      </w:pPr>
      <w:r w:rsidRPr="00F26A3C">
        <w:rPr>
          <w:rFonts w:hint="eastAsia"/>
          <w:b/>
          <w:bCs/>
          <w:color w:val="000000" w:themeColor="text1"/>
        </w:rPr>
        <w:t>沪深交所修订拟对主板、创业板、</w:t>
      </w:r>
      <w:proofErr w:type="gramStart"/>
      <w:r w:rsidRPr="00F26A3C">
        <w:rPr>
          <w:rFonts w:hint="eastAsia"/>
          <w:b/>
          <w:bCs/>
          <w:color w:val="000000" w:themeColor="text1"/>
        </w:rPr>
        <w:t>科创板</w:t>
      </w:r>
      <w:proofErr w:type="gramEnd"/>
      <w:r w:rsidRPr="00F26A3C">
        <w:rPr>
          <w:rFonts w:hint="eastAsia"/>
          <w:b/>
          <w:bCs/>
          <w:color w:val="000000" w:themeColor="text1"/>
        </w:rPr>
        <w:t>《股票上市规则》中有关分红的规定做出重点安排。</w:t>
      </w:r>
      <w:r w:rsidR="00692864">
        <w:rPr>
          <w:rFonts w:hint="eastAsia"/>
          <w:b/>
          <w:bCs/>
          <w:color w:val="000000" w:themeColor="text1"/>
        </w:rPr>
        <w:t>针对</w:t>
      </w:r>
      <w:r w:rsidR="00F027EA" w:rsidRPr="00F027EA">
        <w:rPr>
          <w:rFonts w:hint="eastAsia"/>
          <w:b/>
          <w:bCs/>
          <w:color w:val="000000" w:themeColor="text1"/>
        </w:rPr>
        <w:t>不分红</w:t>
      </w:r>
      <w:r w:rsidR="00F027EA">
        <w:rPr>
          <w:rFonts w:hint="eastAsia"/>
          <w:b/>
          <w:bCs/>
          <w:color w:val="000000" w:themeColor="text1"/>
        </w:rPr>
        <w:t>、分红不达标等行为</w:t>
      </w:r>
      <w:r w:rsidR="00692864">
        <w:rPr>
          <w:rFonts w:hint="eastAsia"/>
          <w:b/>
          <w:bCs/>
          <w:color w:val="000000" w:themeColor="text1"/>
        </w:rPr>
        <w:t>，</w:t>
      </w:r>
      <w:r>
        <w:rPr>
          <w:rFonts w:hint="eastAsia"/>
          <w:b/>
          <w:bCs/>
          <w:color w:val="000000" w:themeColor="text1"/>
        </w:rPr>
        <w:t>将</w:t>
      </w:r>
      <w:r w:rsidR="00692864">
        <w:rPr>
          <w:rFonts w:hint="eastAsia"/>
          <w:b/>
          <w:bCs/>
          <w:color w:val="000000" w:themeColor="text1"/>
        </w:rPr>
        <w:t>采取强约束措施</w:t>
      </w:r>
      <w:r w:rsidR="00992BF5">
        <w:rPr>
          <w:rFonts w:hint="eastAsia"/>
          <w:b/>
          <w:bCs/>
          <w:color w:val="000000" w:themeColor="text1"/>
        </w:rPr>
        <w:t>，并</w:t>
      </w:r>
      <w:r w:rsidR="00692864" w:rsidRPr="00692864">
        <w:rPr>
          <w:rFonts w:hint="eastAsia"/>
          <w:b/>
          <w:bCs/>
          <w:color w:val="000000" w:themeColor="text1"/>
        </w:rPr>
        <w:t>积极推动上市公司一年多次分红。</w:t>
      </w:r>
      <w:r w:rsidR="00692864" w:rsidRPr="00E96A87">
        <w:rPr>
          <w:rFonts w:hint="eastAsia"/>
          <w:b/>
          <w:bCs/>
          <w:color w:val="000000" w:themeColor="text1"/>
        </w:rPr>
        <w:t>多年不分红或者分红比例偏低的公司纳入ST情形。</w:t>
      </w:r>
    </w:p>
    <w:p w14:paraId="1C50A207" w14:textId="6108649F" w:rsidR="00692864" w:rsidRPr="00692864" w:rsidRDefault="00692864" w:rsidP="00692864">
      <w:pPr>
        <w:pStyle w:val="a7"/>
        <w:spacing w:before="156" w:after="156"/>
        <w:ind w:left="2520"/>
        <w:rPr>
          <w:color w:val="000000" w:themeColor="text1"/>
        </w:rPr>
      </w:pPr>
      <w:r>
        <w:rPr>
          <w:rFonts w:hint="eastAsia"/>
          <w:color w:val="000000" w:themeColor="text1"/>
        </w:rPr>
        <w:t>（1）</w:t>
      </w:r>
      <w:r w:rsidRPr="00692864">
        <w:rPr>
          <w:rFonts w:hint="eastAsia"/>
          <w:color w:val="000000" w:themeColor="text1"/>
        </w:rPr>
        <w:t>主板</w:t>
      </w:r>
      <w:r>
        <w:rPr>
          <w:rFonts w:hint="eastAsia"/>
          <w:color w:val="000000" w:themeColor="text1"/>
        </w:rPr>
        <w:t>要求：</w:t>
      </w:r>
      <w:r w:rsidRPr="00692864">
        <w:rPr>
          <w:rFonts w:hint="eastAsia"/>
          <w:color w:val="000000" w:themeColor="text1"/>
        </w:rPr>
        <w:t>对符合分红基本条件，最近三个会计年度累计现金分红总额低于年均净利润的30%，且累计分红金额低于5000万元的公司，实施ST。</w:t>
      </w:r>
    </w:p>
    <w:p w14:paraId="364721B3" w14:textId="0D223C8B" w:rsidR="00692864" w:rsidRPr="00692864" w:rsidRDefault="00692864" w:rsidP="00692864">
      <w:pPr>
        <w:pStyle w:val="a7"/>
        <w:spacing w:before="156" w:after="156"/>
        <w:ind w:left="2520"/>
        <w:rPr>
          <w:color w:val="000000" w:themeColor="text1"/>
        </w:rPr>
      </w:pPr>
      <w:r>
        <w:rPr>
          <w:rFonts w:hint="eastAsia"/>
          <w:color w:val="000000" w:themeColor="text1"/>
        </w:rPr>
        <w:t>（2）</w:t>
      </w:r>
      <w:proofErr w:type="gramStart"/>
      <w:r w:rsidRPr="00692864">
        <w:rPr>
          <w:rFonts w:hint="eastAsia"/>
          <w:color w:val="000000" w:themeColor="text1"/>
        </w:rPr>
        <w:t>科创板</w:t>
      </w:r>
      <w:proofErr w:type="gramEnd"/>
      <w:r w:rsidRPr="00692864">
        <w:rPr>
          <w:rFonts w:hint="eastAsia"/>
          <w:color w:val="000000" w:themeColor="text1"/>
        </w:rPr>
        <w:t>、创业板</w:t>
      </w:r>
      <w:r>
        <w:rPr>
          <w:rFonts w:hint="eastAsia"/>
          <w:color w:val="000000" w:themeColor="text1"/>
        </w:rPr>
        <w:t>要求：</w:t>
      </w:r>
      <w:r w:rsidRPr="00692864">
        <w:rPr>
          <w:rFonts w:hint="eastAsia"/>
          <w:color w:val="000000" w:themeColor="text1"/>
        </w:rPr>
        <w:t>分红金额绝对值标准调低为3000万元。同时，最近三个会计年度累计研发投入占累计营业收入比例15%以上或最近三个会计年度研发投入金额累计在3亿元以上的公司，可豁免实施ST。</w:t>
      </w:r>
    </w:p>
    <w:p w14:paraId="7473145F" w14:textId="58F71195" w:rsidR="00BC327F" w:rsidRPr="00BC327F" w:rsidRDefault="00BC327F" w:rsidP="00BC327F">
      <w:pPr>
        <w:pStyle w:val="a7"/>
        <w:spacing w:before="156" w:after="156"/>
        <w:ind w:left="2520"/>
        <w:rPr>
          <w:color w:val="000000" w:themeColor="text1"/>
        </w:rPr>
      </w:pPr>
      <w:r w:rsidRPr="00BC327F">
        <w:rPr>
          <w:rFonts w:hint="eastAsia"/>
          <w:color w:val="000000" w:themeColor="text1"/>
        </w:rPr>
        <w:t>此外，</w:t>
      </w:r>
      <w:r w:rsidR="009D18DE">
        <w:rPr>
          <w:rFonts w:hint="eastAsia"/>
          <w:color w:val="000000" w:themeColor="text1"/>
        </w:rPr>
        <w:t>新“国九条”</w:t>
      </w:r>
      <w:r w:rsidRPr="00BC327F">
        <w:rPr>
          <w:rFonts w:hint="eastAsia"/>
          <w:color w:val="000000" w:themeColor="text1"/>
        </w:rPr>
        <w:t>意见提出制定上市公司市值管理指引。研究将上市公司市值管理纳入企业内外部考核评价体系。同时依法从严打击以市值管理为名的操纵市场、内幕交易等违法违规行为。</w:t>
      </w:r>
    </w:p>
    <w:p w14:paraId="52AA2EB2" w14:textId="1DC22800" w:rsidR="00C12A3C" w:rsidRDefault="00C12A3C" w:rsidP="00C12A3C">
      <w:pPr>
        <w:pStyle w:val="a0"/>
      </w:pPr>
      <w:bookmarkStart w:id="20" w:name="_Toc163928347"/>
      <w:r>
        <w:rPr>
          <w:rFonts w:hint="eastAsia"/>
        </w:rPr>
        <w:t>退市机制更为畅通，</w:t>
      </w:r>
      <w:proofErr w:type="gramStart"/>
      <w:r>
        <w:rPr>
          <w:rFonts w:hint="eastAsia"/>
        </w:rPr>
        <w:t>差异化退市</w:t>
      </w:r>
      <w:proofErr w:type="gramEnd"/>
      <w:r>
        <w:rPr>
          <w:rFonts w:hint="eastAsia"/>
        </w:rPr>
        <w:t>标准逐步明确</w:t>
      </w:r>
      <w:bookmarkEnd w:id="20"/>
    </w:p>
    <w:p w14:paraId="050C75BE" w14:textId="77777777" w:rsidR="00301E36" w:rsidRDefault="00BC327F" w:rsidP="00BC327F">
      <w:pPr>
        <w:pStyle w:val="a7"/>
        <w:spacing w:before="156" w:after="156"/>
        <w:ind w:left="2520"/>
        <w:rPr>
          <w:color w:val="000000" w:themeColor="text1"/>
        </w:rPr>
      </w:pPr>
      <w:r w:rsidRPr="00BC327F">
        <w:rPr>
          <w:rFonts w:hint="eastAsia"/>
          <w:color w:val="000000" w:themeColor="text1"/>
        </w:rPr>
        <w:t>退市监管方面，</w:t>
      </w:r>
      <w:r w:rsidR="008031F2">
        <w:rPr>
          <w:rFonts w:hint="eastAsia"/>
          <w:color w:val="000000" w:themeColor="text1"/>
        </w:rPr>
        <w:t>新“国九条”</w:t>
      </w:r>
      <w:r w:rsidRPr="00BC327F">
        <w:rPr>
          <w:rFonts w:hint="eastAsia"/>
          <w:color w:val="000000" w:themeColor="text1"/>
        </w:rPr>
        <w:t>提出四个方面要求：（</w:t>
      </w:r>
      <w:r w:rsidRPr="00BC327F">
        <w:rPr>
          <w:color w:val="000000" w:themeColor="text1"/>
        </w:rPr>
        <w:t>1</w:t>
      </w:r>
      <w:r w:rsidRPr="00BC327F">
        <w:rPr>
          <w:rFonts w:hint="eastAsia"/>
          <w:color w:val="000000" w:themeColor="text1"/>
        </w:rPr>
        <w:t>）进一步严格强制退市标准。要求健全不同板块差异化的退市标准体系。（</w:t>
      </w:r>
      <w:r w:rsidRPr="00BC327F">
        <w:rPr>
          <w:color w:val="000000" w:themeColor="text1"/>
        </w:rPr>
        <w:t>2</w:t>
      </w:r>
      <w:r w:rsidRPr="00BC327F">
        <w:rPr>
          <w:rFonts w:hint="eastAsia"/>
          <w:color w:val="000000" w:themeColor="text1"/>
        </w:rPr>
        <w:t>）进一步畅通多元退市渠道。（</w:t>
      </w:r>
      <w:r w:rsidRPr="00BC327F">
        <w:rPr>
          <w:color w:val="000000" w:themeColor="text1"/>
        </w:rPr>
        <w:t>3</w:t>
      </w:r>
      <w:r w:rsidRPr="00BC327F">
        <w:rPr>
          <w:rFonts w:hint="eastAsia"/>
          <w:color w:val="000000" w:themeColor="text1"/>
        </w:rPr>
        <w:t>）进一步削减“壳”资源价值。（</w:t>
      </w:r>
      <w:r w:rsidRPr="00BC327F">
        <w:rPr>
          <w:color w:val="000000" w:themeColor="text1"/>
        </w:rPr>
        <w:t>4</w:t>
      </w:r>
      <w:r w:rsidRPr="00BC327F">
        <w:rPr>
          <w:rFonts w:hint="eastAsia"/>
          <w:color w:val="000000" w:themeColor="text1"/>
        </w:rPr>
        <w:t>）进一步强化退市监管。</w:t>
      </w:r>
    </w:p>
    <w:p w14:paraId="0C5D4729" w14:textId="77777777" w:rsidR="00113F3F" w:rsidRDefault="00301E36" w:rsidP="00113F3F">
      <w:pPr>
        <w:pStyle w:val="a7"/>
        <w:spacing w:before="156" w:after="156"/>
        <w:ind w:left="2520"/>
        <w:rPr>
          <w:color w:val="000000" w:themeColor="text1"/>
        </w:rPr>
      </w:pPr>
      <w:r w:rsidRPr="005E49C9">
        <w:rPr>
          <w:rFonts w:hint="eastAsia"/>
          <w:b/>
          <w:bCs/>
          <w:color w:val="000000" w:themeColor="text1"/>
        </w:rPr>
        <w:t>证监会同步发布《关于严格执行退市制度的意见》。严格重大违法退市适用范围，调低</w:t>
      </w:r>
      <w:r w:rsidRPr="005E49C9">
        <w:rPr>
          <w:b/>
          <w:bCs/>
          <w:color w:val="000000" w:themeColor="text1"/>
        </w:rPr>
        <w:t>2</w:t>
      </w:r>
      <w:r w:rsidRPr="005E49C9">
        <w:rPr>
          <w:rFonts w:hint="eastAsia"/>
          <w:b/>
          <w:bCs/>
          <w:color w:val="000000" w:themeColor="text1"/>
        </w:rPr>
        <w:t>年财务造假触发重大违法退市的门槛，新增</w:t>
      </w:r>
      <w:r w:rsidRPr="005E49C9">
        <w:rPr>
          <w:b/>
          <w:bCs/>
          <w:color w:val="000000" w:themeColor="text1"/>
        </w:rPr>
        <w:t>1</w:t>
      </w:r>
      <w:r w:rsidRPr="005E49C9">
        <w:rPr>
          <w:rFonts w:hint="eastAsia"/>
          <w:b/>
          <w:bCs/>
          <w:color w:val="000000" w:themeColor="text1"/>
        </w:rPr>
        <w:t>年严重造假、多年连续造假退市情形。</w:t>
      </w:r>
      <w:r w:rsidR="005E49C9" w:rsidRPr="005E49C9">
        <w:rPr>
          <w:rFonts w:hint="eastAsia"/>
          <w:color w:val="000000" w:themeColor="text1"/>
        </w:rPr>
        <w:t>具体看：</w:t>
      </w:r>
    </w:p>
    <w:p w14:paraId="48275D13" w14:textId="4874A7A4" w:rsidR="00F002DC" w:rsidRPr="00F002DC" w:rsidRDefault="00113F3F" w:rsidP="00113F3F">
      <w:pPr>
        <w:pStyle w:val="a7"/>
        <w:spacing w:before="156" w:after="156"/>
        <w:ind w:left="2520"/>
        <w:rPr>
          <w:color w:val="000000" w:themeColor="text1"/>
        </w:rPr>
      </w:pPr>
      <w:r w:rsidRPr="00113F3F">
        <w:rPr>
          <w:rFonts w:hint="eastAsia"/>
          <w:color w:val="000000" w:themeColor="text1"/>
        </w:rPr>
        <w:t>（1）</w:t>
      </w:r>
      <w:r w:rsidR="00F002DC" w:rsidRPr="00F002DC">
        <w:rPr>
          <w:rFonts w:hint="eastAsia"/>
          <w:color w:val="000000" w:themeColor="text1"/>
        </w:rPr>
        <w:t>对于1年造假的，当年财务造假金额达到2亿元以上，且造假比例达到30%以上的，予以退市;连续2年造假的，造假金额合计数达到3亿元以上，造假比例达到20%以上的，予以退市。三年及以上被认定虚假记载即退市。</w:t>
      </w:r>
    </w:p>
    <w:p w14:paraId="652828F2" w14:textId="3E30508A" w:rsidR="00F002DC" w:rsidRPr="00F002DC" w:rsidRDefault="00F002DC" w:rsidP="00F002DC">
      <w:pPr>
        <w:pStyle w:val="a7"/>
        <w:spacing w:before="156" w:after="156"/>
        <w:ind w:left="2520"/>
        <w:rPr>
          <w:color w:val="000000" w:themeColor="text1"/>
        </w:rPr>
      </w:pPr>
      <w:r>
        <w:rPr>
          <w:rFonts w:hint="eastAsia"/>
          <w:color w:val="000000" w:themeColor="text1"/>
        </w:rPr>
        <w:t>（2）</w:t>
      </w:r>
      <w:r w:rsidRPr="00F002DC">
        <w:rPr>
          <w:rFonts w:hint="eastAsia"/>
          <w:color w:val="000000" w:themeColor="text1"/>
        </w:rPr>
        <w:t>行政处罚事先告知</w:t>
      </w:r>
      <w:proofErr w:type="gramStart"/>
      <w:r w:rsidRPr="00F002DC">
        <w:rPr>
          <w:rFonts w:hint="eastAsia"/>
          <w:color w:val="000000" w:themeColor="text1"/>
        </w:rPr>
        <w:t>书显示</w:t>
      </w:r>
      <w:proofErr w:type="gramEnd"/>
      <w:r w:rsidRPr="00F002DC">
        <w:rPr>
          <w:rFonts w:hint="eastAsia"/>
          <w:color w:val="000000" w:themeColor="text1"/>
        </w:rPr>
        <w:t>公司财务会计报告存在虚假记载，但未触及重大违法退市标准的，即实施ST。</w:t>
      </w:r>
    </w:p>
    <w:p w14:paraId="33C3EB8C" w14:textId="6F9B827F" w:rsidR="005E49C9" w:rsidRDefault="00F002DC" w:rsidP="00F002DC">
      <w:pPr>
        <w:pStyle w:val="a7"/>
        <w:spacing w:before="156" w:after="156"/>
        <w:ind w:left="2520"/>
        <w:rPr>
          <w:color w:val="000000" w:themeColor="text1"/>
        </w:rPr>
      </w:pPr>
      <w:r>
        <w:rPr>
          <w:rFonts w:hint="eastAsia"/>
          <w:color w:val="000000" w:themeColor="text1"/>
        </w:rPr>
        <w:t>（3）</w:t>
      </w:r>
      <w:r w:rsidRPr="00F002DC">
        <w:rPr>
          <w:rFonts w:hint="eastAsia"/>
          <w:color w:val="000000" w:themeColor="text1"/>
        </w:rPr>
        <w:t>公司被控股股东或其关联方占用资金余额达到2亿元以上，或者占公司最近一期经审计净资产30%以上，未在要求期限内归还的，予以退市。</w:t>
      </w:r>
    </w:p>
    <w:p w14:paraId="22B84F88" w14:textId="4DAFA9E7" w:rsidR="00F002DC" w:rsidRDefault="00F002DC" w:rsidP="00F002DC">
      <w:pPr>
        <w:pStyle w:val="a7"/>
        <w:spacing w:before="156" w:after="156"/>
        <w:ind w:left="2520"/>
        <w:rPr>
          <w:color w:val="000000" w:themeColor="text1"/>
        </w:rPr>
      </w:pPr>
      <w:r>
        <w:rPr>
          <w:rFonts w:hint="eastAsia"/>
          <w:color w:val="000000" w:themeColor="text1"/>
        </w:rPr>
        <w:t>（4）</w:t>
      </w:r>
      <w:r w:rsidRPr="00F002DC">
        <w:rPr>
          <w:rFonts w:hint="eastAsia"/>
          <w:color w:val="000000" w:themeColor="text1"/>
        </w:rPr>
        <w:t>主板亏损公司的营收指标从现行“1亿元”提高至“3亿元”</w:t>
      </w:r>
      <w:r>
        <w:rPr>
          <w:rFonts w:hint="eastAsia"/>
          <w:color w:val="000000" w:themeColor="text1"/>
        </w:rPr>
        <w:t>。</w:t>
      </w:r>
      <w:proofErr w:type="gramStart"/>
      <w:r w:rsidRPr="00F002DC">
        <w:rPr>
          <w:rFonts w:hint="eastAsia"/>
          <w:color w:val="000000" w:themeColor="text1"/>
        </w:rPr>
        <w:t>科创板</w:t>
      </w:r>
      <w:proofErr w:type="gramEnd"/>
      <w:r w:rsidRPr="00F002DC">
        <w:rPr>
          <w:rFonts w:hint="eastAsia"/>
          <w:color w:val="000000" w:themeColor="text1"/>
        </w:rPr>
        <w:t>、创业</w:t>
      </w:r>
      <w:proofErr w:type="gramStart"/>
      <w:r w:rsidRPr="00F002DC">
        <w:rPr>
          <w:rFonts w:hint="eastAsia"/>
          <w:color w:val="000000" w:themeColor="text1"/>
        </w:rPr>
        <w:t>板维持</w:t>
      </w:r>
      <w:proofErr w:type="gramEnd"/>
      <w:r w:rsidRPr="00F002DC">
        <w:rPr>
          <w:rFonts w:hint="eastAsia"/>
          <w:color w:val="000000" w:themeColor="text1"/>
        </w:rPr>
        <w:t>“1亿元”不变;亏损考察维度增加利润总额;对财务类*ST公司引入财务报告内部控制意见退市情形。</w:t>
      </w:r>
    </w:p>
    <w:p w14:paraId="35B26F3C" w14:textId="3020048B" w:rsidR="000968B5" w:rsidRDefault="000968B5" w:rsidP="000968B5">
      <w:pPr>
        <w:pStyle w:val="a7"/>
        <w:spacing w:before="156" w:after="156"/>
        <w:ind w:left="2520"/>
        <w:rPr>
          <w:color w:val="000000" w:themeColor="text1"/>
        </w:rPr>
      </w:pPr>
      <w:r>
        <w:rPr>
          <w:rFonts w:hint="eastAsia"/>
          <w:color w:val="000000" w:themeColor="text1"/>
        </w:rPr>
        <w:t>（5）</w:t>
      </w:r>
      <w:r w:rsidRPr="000968B5">
        <w:rPr>
          <w:rFonts w:hint="eastAsia"/>
          <w:color w:val="000000" w:themeColor="text1"/>
        </w:rPr>
        <w:t>将内控审计意见纳入</w:t>
      </w:r>
      <w:proofErr w:type="gramStart"/>
      <w:r w:rsidRPr="000968B5">
        <w:rPr>
          <w:rFonts w:hint="eastAsia"/>
          <w:color w:val="000000" w:themeColor="text1"/>
        </w:rPr>
        <w:t>规范类退市情</w:t>
      </w:r>
      <w:proofErr w:type="gramEnd"/>
      <w:r w:rsidRPr="000968B5">
        <w:rPr>
          <w:rFonts w:hint="eastAsia"/>
          <w:color w:val="000000" w:themeColor="text1"/>
        </w:rPr>
        <w:t>形</w:t>
      </w:r>
      <w:r>
        <w:rPr>
          <w:rFonts w:hint="eastAsia"/>
          <w:color w:val="000000" w:themeColor="text1"/>
        </w:rPr>
        <w:t>。</w:t>
      </w:r>
      <w:r w:rsidRPr="000968B5">
        <w:rPr>
          <w:rFonts w:hint="eastAsia"/>
          <w:color w:val="000000" w:themeColor="text1"/>
        </w:rPr>
        <w:t>对多年内控非标意见实施</w:t>
      </w:r>
      <w:proofErr w:type="gramStart"/>
      <w:r w:rsidRPr="000968B5">
        <w:rPr>
          <w:rFonts w:hint="eastAsia"/>
          <w:color w:val="000000" w:themeColor="text1"/>
        </w:rPr>
        <w:t>规范类退市</w:t>
      </w:r>
      <w:proofErr w:type="gramEnd"/>
      <w:r w:rsidRPr="000968B5">
        <w:rPr>
          <w:rFonts w:hint="eastAsia"/>
          <w:color w:val="000000" w:themeColor="text1"/>
        </w:rPr>
        <w:t>;连续两年内控非标或未按规定披露内控审计报告实施*ST</w:t>
      </w:r>
      <w:r>
        <w:rPr>
          <w:rFonts w:hint="eastAsia"/>
          <w:color w:val="000000" w:themeColor="text1"/>
        </w:rPr>
        <w:t>；</w:t>
      </w:r>
      <w:r w:rsidRPr="000968B5">
        <w:rPr>
          <w:rFonts w:hint="eastAsia"/>
          <w:color w:val="000000" w:themeColor="text1"/>
        </w:rPr>
        <w:t>第三年内控非标或未按规定披露即退市。</w:t>
      </w:r>
    </w:p>
    <w:p w14:paraId="6BF97133" w14:textId="47E5A642" w:rsidR="00F002DC" w:rsidRPr="00F002DC" w:rsidRDefault="00F002DC" w:rsidP="00F002DC">
      <w:pPr>
        <w:pStyle w:val="a7"/>
        <w:spacing w:before="156" w:after="156"/>
        <w:ind w:left="2520"/>
        <w:rPr>
          <w:color w:val="000000" w:themeColor="text1"/>
        </w:rPr>
      </w:pPr>
      <w:r>
        <w:rPr>
          <w:rFonts w:hint="eastAsia"/>
          <w:color w:val="000000" w:themeColor="text1"/>
        </w:rPr>
        <w:t>（</w:t>
      </w:r>
      <w:r w:rsidR="000968B5">
        <w:rPr>
          <w:rFonts w:hint="eastAsia"/>
          <w:color w:val="000000" w:themeColor="text1"/>
        </w:rPr>
        <w:t>6</w:t>
      </w:r>
      <w:r>
        <w:rPr>
          <w:rFonts w:hint="eastAsia"/>
          <w:color w:val="000000" w:themeColor="text1"/>
        </w:rPr>
        <w:t>）</w:t>
      </w:r>
      <w:r w:rsidRPr="00F002DC">
        <w:rPr>
          <w:rFonts w:hint="eastAsia"/>
          <w:color w:val="000000" w:themeColor="text1"/>
        </w:rPr>
        <w:t>新增控制权无序争夺的重大缺陷退市情形</w:t>
      </w:r>
      <w:r>
        <w:rPr>
          <w:rFonts w:hint="eastAsia"/>
          <w:color w:val="000000" w:themeColor="text1"/>
        </w:rPr>
        <w:t>。</w:t>
      </w:r>
      <w:r w:rsidRPr="00F002DC">
        <w:rPr>
          <w:rFonts w:hint="eastAsia"/>
          <w:color w:val="000000" w:themeColor="text1"/>
        </w:rPr>
        <w:t>督促股东在制度框架内解决控制权争议，保障中小投资者</w:t>
      </w:r>
      <w:r>
        <w:rPr>
          <w:rFonts w:hint="eastAsia"/>
          <w:color w:val="000000" w:themeColor="text1"/>
        </w:rPr>
        <w:t>合法权益。</w:t>
      </w:r>
    </w:p>
    <w:p w14:paraId="4EFED669" w14:textId="28B980DD" w:rsidR="00F002DC" w:rsidRDefault="00F002DC" w:rsidP="00F002DC">
      <w:pPr>
        <w:pStyle w:val="a7"/>
        <w:spacing w:before="156" w:after="156"/>
        <w:ind w:left="2520"/>
        <w:rPr>
          <w:color w:val="000000" w:themeColor="text1"/>
        </w:rPr>
      </w:pPr>
      <w:r>
        <w:rPr>
          <w:rFonts w:hint="eastAsia"/>
          <w:color w:val="000000" w:themeColor="text1"/>
        </w:rPr>
        <w:t>（</w:t>
      </w:r>
      <w:r w:rsidR="000968B5">
        <w:rPr>
          <w:rFonts w:hint="eastAsia"/>
          <w:color w:val="000000" w:themeColor="text1"/>
        </w:rPr>
        <w:t>7</w:t>
      </w:r>
      <w:r>
        <w:rPr>
          <w:rFonts w:hint="eastAsia"/>
          <w:color w:val="000000" w:themeColor="text1"/>
        </w:rPr>
        <w:t>）</w:t>
      </w:r>
      <w:r w:rsidRPr="00F002DC">
        <w:rPr>
          <w:rFonts w:hint="eastAsia"/>
          <w:color w:val="000000" w:themeColor="text1"/>
        </w:rPr>
        <w:t>完善市值标准等</w:t>
      </w:r>
      <w:proofErr w:type="gramStart"/>
      <w:r w:rsidRPr="00F002DC">
        <w:rPr>
          <w:rFonts w:hint="eastAsia"/>
          <w:color w:val="000000" w:themeColor="text1"/>
        </w:rPr>
        <w:t>交易类退市</w:t>
      </w:r>
      <w:proofErr w:type="gramEnd"/>
      <w:r w:rsidRPr="00F002DC">
        <w:rPr>
          <w:rFonts w:hint="eastAsia"/>
          <w:color w:val="000000" w:themeColor="text1"/>
        </w:rPr>
        <w:t>门槛</w:t>
      </w:r>
      <w:r>
        <w:rPr>
          <w:rFonts w:hint="eastAsia"/>
          <w:color w:val="000000" w:themeColor="text1"/>
        </w:rPr>
        <w:t>。</w:t>
      </w:r>
      <w:r w:rsidRPr="00F002DC">
        <w:rPr>
          <w:rFonts w:hint="eastAsia"/>
          <w:color w:val="000000" w:themeColor="text1"/>
        </w:rPr>
        <w:t>适当提高主板A股(含A+B股)公司市值退市标准至5亿元，</w:t>
      </w:r>
      <w:proofErr w:type="gramStart"/>
      <w:r w:rsidRPr="00F002DC">
        <w:rPr>
          <w:rFonts w:hint="eastAsia"/>
          <w:color w:val="000000" w:themeColor="text1"/>
        </w:rPr>
        <w:t>科创板</w:t>
      </w:r>
      <w:proofErr w:type="gramEnd"/>
      <w:r w:rsidRPr="00F002DC">
        <w:rPr>
          <w:rFonts w:hint="eastAsia"/>
          <w:color w:val="000000" w:themeColor="text1"/>
        </w:rPr>
        <w:t>、创业板公司市值标准不变，仍然为3亿元。</w:t>
      </w:r>
    </w:p>
    <w:p w14:paraId="712F0155" w14:textId="77777777" w:rsidR="000A3E3D" w:rsidRDefault="000A3E3D" w:rsidP="000A3E3D">
      <w:pPr>
        <w:pStyle w:val="a7"/>
        <w:spacing w:before="156" w:after="156"/>
        <w:ind w:left="2520"/>
        <w:rPr>
          <w:color w:val="000000" w:themeColor="text1"/>
        </w:rPr>
      </w:pPr>
    </w:p>
    <w:tbl>
      <w:tblPr>
        <w:tblStyle w:val="a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A3E3D" w14:paraId="11C9BB3F" w14:textId="77777777" w:rsidTr="00A70D70">
        <w:trPr>
          <w:trHeight w:val="283"/>
          <w:jc w:val="center"/>
        </w:trPr>
        <w:tc>
          <w:tcPr>
            <w:tcW w:w="10205" w:type="dxa"/>
            <w:tcBorders>
              <w:top w:val="single" w:sz="12" w:space="0" w:color="auto"/>
              <w:bottom w:val="single" w:sz="12" w:space="0" w:color="auto"/>
            </w:tcBorders>
            <w:shd w:val="clear" w:color="auto" w:fill="auto"/>
          </w:tcPr>
          <w:p w14:paraId="3352FD3C" w14:textId="3F8CF0E5" w:rsidR="000A3E3D" w:rsidRPr="009B0CEB" w:rsidRDefault="00B178D2" w:rsidP="00A70D70">
            <w:pPr>
              <w:pStyle w:val="a2"/>
            </w:pPr>
            <w:bookmarkStart w:id="21" w:name="_Toc163928353"/>
            <w:r>
              <w:rPr>
                <w:rFonts w:hint="eastAsia"/>
              </w:rPr>
              <w:lastRenderedPageBreak/>
              <w:t>2024</w:t>
            </w:r>
            <w:r>
              <w:rPr>
                <w:rFonts w:hint="eastAsia"/>
              </w:rPr>
              <w:t>年以来</w:t>
            </w:r>
            <w:r>
              <w:rPr>
                <w:rFonts w:hint="eastAsia"/>
              </w:rPr>
              <w:t>A</w:t>
            </w:r>
            <w:proofErr w:type="gramStart"/>
            <w:r>
              <w:rPr>
                <w:rFonts w:hint="eastAsia"/>
              </w:rPr>
              <w:t>股退市</w:t>
            </w:r>
            <w:proofErr w:type="gramEnd"/>
            <w:r>
              <w:rPr>
                <w:rFonts w:hint="eastAsia"/>
              </w:rPr>
              <w:t>上市公司概览</w:t>
            </w:r>
            <w:bookmarkEnd w:id="21"/>
          </w:p>
        </w:tc>
      </w:tr>
      <w:tr w:rsidR="000A3E3D" w14:paraId="59686314" w14:textId="77777777" w:rsidTr="00B178D2">
        <w:trPr>
          <w:trHeight w:val="2691"/>
          <w:jc w:val="center"/>
        </w:trPr>
        <w:tc>
          <w:tcPr>
            <w:tcW w:w="10205" w:type="dxa"/>
            <w:tcBorders>
              <w:top w:val="single" w:sz="12" w:space="0" w:color="auto"/>
              <w:bottom w:val="single" w:sz="12" w:space="0" w:color="auto"/>
            </w:tcBorders>
            <w:shd w:val="clear" w:color="auto" w:fill="auto"/>
          </w:tcPr>
          <w:tbl>
            <w:tblPr>
              <w:tblStyle w:val="af7"/>
              <w:tblW w:w="9874" w:type="dxa"/>
              <w:tblLook w:val="04A0" w:firstRow="1" w:lastRow="0" w:firstColumn="1" w:lastColumn="0" w:noHBand="0" w:noVBand="1"/>
            </w:tblPr>
            <w:tblGrid>
              <w:gridCol w:w="1434"/>
              <w:gridCol w:w="1722"/>
              <w:gridCol w:w="1275"/>
              <w:gridCol w:w="1276"/>
              <w:gridCol w:w="1755"/>
              <w:gridCol w:w="2412"/>
            </w:tblGrid>
            <w:tr w:rsidR="00B178D2" w:rsidRPr="00B178D2" w14:paraId="1E817328" w14:textId="77777777" w:rsidTr="00B178D2">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5191FCF0" w14:textId="77777777" w:rsidR="00B178D2" w:rsidRPr="00B178D2" w:rsidRDefault="00B178D2" w:rsidP="00B178D2">
                  <w:r w:rsidRPr="00B178D2">
                    <w:rPr>
                      <w:rFonts w:hint="eastAsia"/>
                    </w:rPr>
                    <w:t>代码</w:t>
                  </w:r>
                </w:p>
              </w:tc>
              <w:tc>
                <w:tcPr>
                  <w:tcW w:w="1722" w:type="dxa"/>
                  <w:noWrap/>
                  <w:hideMark/>
                </w:tcPr>
                <w:p w14:paraId="68A15156" w14:textId="77777777" w:rsidR="00B178D2" w:rsidRPr="00B178D2" w:rsidRDefault="00B178D2" w:rsidP="00B178D2">
                  <w:pPr>
                    <w:cnfStyle w:val="100000000000" w:firstRow="1" w:lastRow="0" w:firstColumn="0" w:lastColumn="0" w:oddVBand="0" w:evenVBand="0" w:oddHBand="0" w:evenHBand="0" w:firstRowFirstColumn="0" w:firstRowLastColumn="0" w:lastRowFirstColumn="0" w:lastRowLastColumn="0"/>
                  </w:pPr>
                  <w:r w:rsidRPr="00B178D2">
                    <w:rPr>
                      <w:rFonts w:hint="eastAsia"/>
                    </w:rPr>
                    <w:t>名称</w:t>
                  </w:r>
                </w:p>
              </w:tc>
              <w:tc>
                <w:tcPr>
                  <w:tcW w:w="1275" w:type="dxa"/>
                  <w:noWrap/>
                  <w:hideMark/>
                </w:tcPr>
                <w:p w14:paraId="0FBA3B65" w14:textId="77777777" w:rsidR="00B178D2" w:rsidRPr="00B178D2" w:rsidRDefault="00B178D2" w:rsidP="00B178D2">
                  <w:pPr>
                    <w:cnfStyle w:val="100000000000" w:firstRow="1" w:lastRow="0" w:firstColumn="0" w:lastColumn="0" w:oddVBand="0" w:evenVBand="0" w:oddHBand="0" w:evenHBand="0" w:firstRowFirstColumn="0" w:firstRowLastColumn="0" w:lastRowFirstColumn="0" w:lastRowLastColumn="0"/>
                  </w:pPr>
                  <w:r w:rsidRPr="00B178D2">
                    <w:rPr>
                      <w:rFonts w:hint="eastAsia"/>
                    </w:rPr>
                    <w:t>退市日期</w:t>
                  </w:r>
                </w:p>
              </w:tc>
              <w:tc>
                <w:tcPr>
                  <w:tcW w:w="1276" w:type="dxa"/>
                  <w:noWrap/>
                  <w:hideMark/>
                </w:tcPr>
                <w:p w14:paraId="76853B6C" w14:textId="77777777" w:rsidR="00B178D2" w:rsidRPr="00B178D2" w:rsidRDefault="00B178D2" w:rsidP="00B178D2">
                  <w:pPr>
                    <w:cnfStyle w:val="100000000000" w:firstRow="1" w:lastRow="0" w:firstColumn="0" w:lastColumn="0" w:oddVBand="0" w:evenVBand="0" w:oddHBand="0" w:evenHBand="0" w:firstRowFirstColumn="0" w:firstRowLastColumn="0" w:lastRowFirstColumn="0" w:lastRowLastColumn="0"/>
                  </w:pPr>
                  <w:r w:rsidRPr="00B178D2">
                    <w:rPr>
                      <w:rFonts w:hint="eastAsia"/>
                    </w:rPr>
                    <w:t>退市时股价</w:t>
                  </w:r>
                  <w:r w:rsidRPr="00B178D2">
                    <w:rPr>
                      <w:rFonts w:hint="eastAsia"/>
                    </w:rPr>
                    <w:t>(</w:t>
                  </w:r>
                  <w:r w:rsidRPr="00B178D2">
                    <w:rPr>
                      <w:rFonts w:hint="eastAsia"/>
                    </w:rPr>
                    <w:t>元</w:t>
                  </w:r>
                  <w:r w:rsidRPr="00B178D2">
                    <w:rPr>
                      <w:rFonts w:hint="eastAsia"/>
                    </w:rPr>
                    <w:t>)</w:t>
                  </w:r>
                </w:p>
              </w:tc>
              <w:tc>
                <w:tcPr>
                  <w:tcW w:w="1755" w:type="dxa"/>
                  <w:noWrap/>
                  <w:hideMark/>
                </w:tcPr>
                <w:p w14:paraId="7045A51A" w14:textId="77777777" w:rsidR="00B178D2" w:rsidRPr="00B178D2" w:rsidRDefault="00B178D2" w:rsidP="00B178D2">
                  <w:pPr>
                    <w:cnfStyle w:val="100000000000" w:firstRow="1" w:lastRow="0" w:firstColumn="0" w:lastColumn="0" w:oddVBand="0" w:evenVBand="0" w:oddHBand="0" w:evenHBand="0" w:firstRowFirstColumn="0" w:firstRowLastColumn="0" w:lastRowFirstColumn="0" w:lastRowLastColumn="0"/>
                  </w:pPr>
                  <w:r w:rsidRPr="00B178D2">
                    <w:rPr>
                      <w:rFonts w:hint="eastAsia"/>
                    </w:rPr>
                    <w:t>退市时每股净资产</w:t>
                  </w:r>
                  <w:r w:rsidRPr="00B178D2">
                    <w:rPr>
                      <w:rFonts w:hint="eastAsia"/>
                    </w:rPr>
                    <w:t>(</w:t>
                  </w:r>
                  <w:r w:rsidRPr="00B178D2">
                    <w:rPr>
                      <w:rFonts w:hint="eastAsia"/>
                    </w:rPr>
                    <w:t>元</w:t>
                  </w:r>
                  <w:r w:rsidRPr="00B178D2">
                    <w:rPr>
                      <w:rFonts w:hint="eastAsia"/>
                    </w:rPr>
                    <w:t>)</w:t>
                  </w:r>
                </w:p>
              </w:tc>
              <w:tc>
                <w:tcPr>
                  <w:tcW w:w="2412" w:type="dxa"/>
                  <w:noWrap/>
                  <w:hideMark/>
                </w:tcPr>
                <w:p w14:paraId="3ADBD4DA" w14:textId="77777777" w:rsidR="00B178D2" w:rsidRPr="00B178D2" w:rsidRDefault="00B178D2" w:rsidP="00B178D2">
                  <w:pPr>
                    <w:cnfStyle w:val="100000000000" w:firstRow="1" w:lastRow="0" w:firstColumn="0" w:lastColumn="0" w:oddVBand="0" w:evenVBand="0" w:oddHBand="0" w:evenHBand="0" w:firstRowFirstColumn="0" w:firstRowLastColumn="0" w:lastRowFirstColumn="0" w:lastRowLastColumn="0"/>
                  </w:pPr>
                  <w:r w:rsidRPr="00B178D2">
                    <w:rPr>
                      <w:rFonts w:hint="eastAsia"/>
                    </w:rPr>
                    <w:t>终止上市原因</w:t>
                  </w:r>
                </w:p>
              </w:tc>
            </w:tr>
            <w:tr w:rsidR="00B178D2" w:rsidRPr="00B178D2" w14:paraId="2B78F499" w14:textId="77777777" w:rsidTr="00B178D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672B95B4" w14:textId="77777777" w:rsidR="00B178D2" w:rsidRPr="00B178D2" w:rsidRDefault="00B178D2" w:rsidP="00B178D2">
                  <w:pPr>
                    <w:rPr>
                      <w:rFonts w:ascii="Times New Roman" w:hAnsi="Times New Roman"/>
                    </w:rPr>
                  </w:pPr>
                  <w:r w:rsidRPr="00B178D2">
                    <w:rPr>
                      <w:rFonts w:ascii="Times New Roman" w:hAnsi="Times New Roman" w:hint="eastAsia"/>
                    </w:rPr>
                    <w:t>603555.SH</w:t>
                  </w:r>
                </w:p>
              </w:tc>
              <w:tc>
                <w:tcPr>
                  <w:tcW w:w="1722" w:type="dxa"/>
                  <w:noWrap/>
                  <w:hideMark/>
                </w:tcPr>
                <w:p w14:paraId="0E1B01DF"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ST</w:t>
                  </w:r>
                  <w:r w:rsidRPr="00B178D2">
                    <w:rPr>
                      <w:rFonts w:hint="eastAsia"/>
                    </w:rPr>
                    <w:t>贵人</w:t>
                  </w:r>
                  <w:r w:rsidRPr="00B178D2">
                    <w:rPr>
                      <w:rFonts w:hint="eastAsia"/>
                    </w:rPr>
                    <w:t>(</w:t>
                  </w:r>
                  <w:r w:rsidRPr="00B178D2">
                    <w:rPr>
                      <w:rFonts w:hint="eastAsia"/>
                    </w:rPr>
                    <w:t>退市</w:t>
                  </w:r>
                  <w:r w:rsidRPr="00B178D2">
                    <w:rPr>
                      <w:rFonts w:hint="eastAsia"/>
                    </w:rPr>
                    <w:t>)</w:t>
                  </w:r>
                </w:p>
              </w:tc>
              <w:tc>
                <w:tcPr>
                  <w:tcW w:w="1275" w:type="dxa"/>
                  <w:noWrap/>
                  <w:hideMark/>
                </w:tcPr>
                <w:p w14:paraId="3D237592"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2024-03-29</w:t>
                  </w:r>
                </w:p>
              </w:tc>
              <w:tc>
                <w:tcPr>
                  <w:tcW w:w="1276" w:type="dxa"/>
                  <w:noWrap/>
                  <w:hideMark/>
                </w:tcPr>
                <w:p w14:paraId="1462264D"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0.67</w:t>
                  </w:r>
                </w:p>
              </w:tc>
              <w:tc>
                <w:tcPr>
                  <w:tcW w:w="1755" w:type="dxa"/>
                  <w:noWrap/>
                  <w:hideMark/>
                </w:tcPr>
                <w:p w14:paraId="14641DA9"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1.04</w:t>
                  </w:r>
                </w:p>
              </w:tc>
              <w:tc>
                <w:tcPr>
                  <w:tcW w:w="2412" w:type="dxa"/>
                  <w:noWrap/>
                  <w:hideMark/>
                </w:tcPr>
                <w:p w14:paraId="5FD28D05"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股价低于面值</w:t>
                  </w:r>
                </w:p>
              </w:tc>
            </w:tr>
            <w:tr w:rsidR="00B178D2" w:rsidRPr="00B178D2" w14:paraId="42984B5A" w14:textId="77777777" w:rsidTr="00B178D2">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5A4C6E1E" w14:textId="77777777" w:rsidR="00B178D2" w:rsidRPr="00B178D2" w:rsidRDefault="00B178D2" w:rsidP="00B178D2">
                  <w:pPr>
                    <w:rPr>
                      <w:rFonts w:ascii="Times New Roman" w:hAnsi="Times New Roman"/>
                    </w:rPr>
                  </w:pPr>
                  <w:r w:rsidRPr="00B178D2">
                    <w:rPr>
                      <w:rFonts w:ascii="Times New Roman" w:hAnsi="Times New Roman" w:hint="eastAsia"/>
                    </w:rPr>
                    <w:t>002002.SZ</w:t>
                  </w:r>
                </w:p>
              </w:tc>
              <w:tc>
                <w:tcPr>
                  <w:tcW w:w="1722" w:type="dxa"/>
                  <w:noWrap/>
                  <w:hideMark/>
                </w:tcPr>
                <w:p w14:paraId="41295B40"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ST</w:t>
                  </w:r>
                  <w:r w:rsidRPr="00B178D2">
                    <w:rPr>
                      <w:rFonts w:hint="eastAsia"/>
                    </w:rPr>
                    <w:t>鸿达</w:t>
                  </w:r>
                  <w:r w:rsidRPr="00B178D2">
                    <w:rPr>
                      <w:rFonts w:hint="eastAsia"/>
                    </w:rPr>
                    <w:t>(</w:t>
                  </w:r>
                  <w:r w:rsidRPr="00B178D2">
                    <w:rPr>
                      <w:rFonts w:hint="eastAsia"/>
                    </w:rPr>
                    <w:t>退市</w:t>
                  </w:r>
                  <w:r w:rsidRPr="00B178D2">
                    <w:rPr>
                      <w:rFonts w:hint="eastAsia"/>
                    </w:rPr>
                    <w:t>)</w:t>
                  </w:r>
                </w:p>
              </w:tc>
              <w:tc>
                <w:tcPr>
                  <w:tcW w:w="1275" w:type="dxa"/>
                  <w:noWrap/>
                  <w:hideMark/>
                </w:tcPr>
                <w:p w14:paraId="6A9E84BB"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2024-03-18</w:t>
                  </w:r>
                </w:p>
              </w:tc>
              <w:tc>
                <w:tcPr>
                  <w:tcW w:w="1276" w:type="dxa"/>
                  <w:noWrap/>
                  <w:hideMark/>
                </w:tcPr>
                <w:p w14:paraId="5E56FC02"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0.58</w:t>
                  </w:r>
                </w:p>
              </w:tc>
              <w:tc>
                <w:tcPr>
                  <w:tcW w:w="1755" w:type="dxa"/>
                  <w:noWrap/>
                  <w:hideMark/>
                </w:tcPr>
                <w:p w14:paraId="4A0EBF27"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3.00</w:t>
                  </w:r>
                </w:p>
              </w:tc>
              <w:tc>
                <w:tcPr>
                  <w:tcW w:w="2412" w:type="dxa"/>
                  <w:noWrap/>
                  <w:hideMark/>
                </w:tcPr>
                <w:p w14:paraId="32C8209F"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股价低于面值</w:t>
                  </w:r>
                </w:p>
              </w:tc>
            </w:tr>
            <w:tr w:rsidR="00B178D2" w:rsidRPr="00B178D2" w14:paraId="7B8ACD58" w14:textId="77777777" w:rsidTr="00B178D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678FA27F" w14:textId="77777777" w:rsidR="00B178D2" w:rsidRPr="00B178D2" w:rsidRDefault="00B178D2" w:rsidP="00B178D2">
                  <w:pPr>
                    <w:rPr>
                      <w:rFonts w:ascii="Times New Roman" w:hAnsi="Times New Roman"/>
                    </w:rPr>
                  </w:pPr>
                  <w:r w:rsidRPr="00B178D2">
                    <w:rPr>
                      <w:rFonts w:ascii="Times New Roman" w:hAnsi="Times New Roman" w:hint="eastAsia"/>
                    </w:rPr>
                    <w:t>002740.SZ</w:t>
                  </w:r>
                </w:p>
              </w:tc>
              <w:tc>
                <w:tcPr>
                  <w:tcW w:w="1722" w:type="dxa"/>
                  <w:noWrap/>
                  <w:hideMark/>
                </w:tcPr>
                <w:p w14:paraId="0C59C412"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*ST</w:t>
                  </w:r>
                  <w:r w:rsidRPr="00B178D2">
                    <w:rPr>
                      <w:rFonts w:hint="eastAsia"/>
                    </w:rPr>
                    <w:t>爱</w:t>
                  </w:r>
                  <w:proofErr w:type="gramStart"/>
                  <w:r w:rsidRPr="00B178D2">
                    <w:rPr>
                      <w:rFonts w:hint="eastAsia"/>
                    </w:rPr>
                    <w:t>迪</w:t>
                  </w:r>
                  <w:proofErr w:type="gramEnd"/>
                  <w:r w:rsidRPr="00B178D2">
                    <w:rPr>
                      <w:rFonts w:hint="eastAsia"/>
                    </w:rPr>
                    <w:t>(</w:t>
                  </w:r>
                  <w:r w:rsidRPr="00B178D2">
                    <w:rPr>
                      <w:rFonts w:hint="eastAsia"/>
                    </w:rPr>
                    <w:t>退市</w:t>
                  </w:r>
                  <w:r w:rsidRPr="00B178D2">
                    <w:rPr>
                      <w:rFonts w:hint="eastAsia"/>
                    </w:rPr>
                    <w:t>)</w:t>
                  </w:r>
                </w:p>
              </w:tc>
              <w:tc>
                <w:tcPr>
                  <w:tcW w:w="1275" w:type="dxa"/>
                  <w:noWrap/>
                  <w:hideMark/>
                </w:tcPr>
                <w:p w14:paraId="6AC3A986"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2024-03-04</w:t>
                  </w:r>
                </w:p>
              </w:tc>
              <w:tc>
                <w:tcPr>
                  <w:tcW w:w="1276" w:type="dxa"/>
                  <w:noWrap/>
                  <w:hideMark/>
                </w:tcPr>
                <w:p w14:paraId="6F4B625A"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0.38</w:t>
                  </w:r>
                </w:p>
              </w:tc>
              <w:tc>
                <w:tcPr>
                  <w:tcW w:w="1755" w:type="dxa"/>
                  <w:noWrap/>
                  <w:hideMark/>
                </w:tcPr>
                <w:p w14:paraId="3A090D62"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-1.72</w:t>
                  </w:r>
                </w:p>
              </w:tc>
              <w:tc>
                <w:tcPr>
                  <w:tcW w:w="2412" w:type="dxa"/>
                  <w:noWrap/>
                  <w:hideMark/>
                </w:tcPr>
                <w:p w14:paraId="085337A8"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其它不符合挂牌的情形</w:t>
                  </w:r>
                </w:p>
              </w:tc>
            </w:tr>
            <w:tr w:rsidR="00B178D2" w:rsidRPr="00B178D2" w14:paraId="46E4E596" w14:textId="77777777" w:rsidTr="00B178D2">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16F49458" w14:textId="77777777" w:rsidR="00B178D2" w:rsidRPr="00B178D2" w:rsidRDefault="00B178D2" w:rsidP="00B178D2">
                  <w:pPr>
                    <w:rPr>
                      <w:rFonts w:ascii="Times New Roman" w:hAnsi="Times New Roman"/>
                    </w:rPr>
                  </w:pPr>
                  <w:r w:rsidRPr="00B178D2">
                    <w:rPr>
                      <w:rFonts w:ascii="Times New Roman" w:hAnsi="Times New Roman" w:hint="eastAsia"/>
                    </w:rPr>
                    <w:t>000046.SZ</w:t>
                  </w:r>
                </w:p>
              </w:tc>
              <w:tc>
                <w:tcPr>
                  <w:tcW w:w="1722" w:type="dxa"/>
                  <w:noWrap/>
                  <w:hideMark/>
                </w:tcPr>
                <w:p w14:paraId="3FEBB2AF"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*ST</w:t>
                  </w:r>
                  <w:r w:rsidRPr="00B178D2">
                    <w:rPr>
                      <w:rFonts w:hint="eastAsia"/>
                    </w:rPr>
                    <w:t>泛海</w:t>
                  </w:r>
                  <w:r w:rsidRPr="00B178D2">
                    <w:rPr>
                      <w:rFonts w:hint="eastAsia"/>
                    </w:rPr>
                    <w:t>(</w:t>
                  </w:r>
                  <w:r w:rsidRPr="00B178D2">
                    <w:rPr>
                      <w:rFonts w:hint="eastAsia"/>
                    </w:rPr>
                    <w:t>退市</w:t>
                  </w:r>
                  <w:r w:rsidRPr="00B178D2">
                    <w:rPr>
                      <w:rFonts w:hint="eastAsia"/>
                    </w:rPr>
                    <w:t>)</w:t>
                  </w:r>
                </w:p>
              </w:tc>
              <w:tc>
                <w:tcPr>
                  <w:tcW w:w="1275" w:type="dxa"/>
                  <w:noWrap/>
                  <w:hideMark/>
                </w:tcPr>
                <w:p w14:paraId="5032BEB0"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2024-02-07</w:t>
                  </w:r>
                </w:p>
              </w:tc>
              <w:tc>
                <w:tcPr>
                  <w:tcW w:w="1276" w:type="dxa"/>
                  <w:noWrap/>
                  <w:hideMark/>
                </w:tcPr>
                <w:p w14:paraId="45CA3AFB"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0.38</w:t>
                  </w:r>
                </w:p>
              </w:tc>
              <w:tc>
                <w:tcPr>
                  <w:tcW w:w="1755" w:type="dxa"/>
                  <w:noWrap/>
                  <w:hideMark/>
                </w:tcPr>
                <w:p w14:paraId="7A458F3D"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-2.32</w:t>
                  </w:r>
                </w:p>
              </w:tc>
              <w:tc>
                <w:tcPr>
                  <w:tcW w:w="2412" w:type="dxa"/>
                  <w:noWrap/>
                  <w:hideMark/>
                </w:tcPr>
                <w:p w14:paraId="5995121E"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其它不符合挂牌的情形</w:t>
                  </w:r>
                </w:p>
              </w:tc>
            </w:tr>
            <w:tr w:rsidR="00B178D2" w:rsidRPr="00B178D2" w14:paraId="1482DBFE" w14:textId="77777777" w:rsidTr="00B178D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5648796B" w14:textId="77777777" w:rsidR="00B178D2" w:rsidRPr="00B178D2" w:rsidRDefault="00B178D2" w:rsidP="00B178D2">
                  <w:pPr>
                    <w:rPr>
                      <w:rFonts w:ascii="Times New Roman" w:hAnsi="Times New Roman"/>
                    </w:rPr>
                  </w:pPr>
                  <w:r w:rsidRPr="00B178D2">
                    <w:rPr>
                      <w:rFonts w:ascii="Times New Roman" w:hAnsi="Times New Roman" w:hint="eastAsia"/>
                    </w:rPr>
                    <w:t>002776.SZ</w:t>
                  </w:r>
                </w:p>
              </w:tc>
              <w:tc>
                <w:tcPr>
                  <w:tcW w:w="1722" w:type="dxa"/>
                  <w:noWrap/>
                  <w:hideMark/>
                </w:tcPr>
                <w:p w14:paraId="3566D41D"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*ST</w:t>
                  </w:r>
                  <w:proofErr w:type="gramStart"/>
                  <w:r w:rsidRPr="00B178D2">
                    <w:rPr>
                      <w:rFonts w:hint="eastAsia"/>
                    </w:rPr>
                    <w:t>柏龙</w:t>
                  </w:r>
                  <w:proofErr w:type="gramEnd"/>
                  <w:r w:rsidRPr="00B178D2">
                    <w:rPr>
                      <w:rFonts w:hint="eastAsia"/>
                    </w:rPr>
                    <w:t>(</w:t>
                  </w:r>
                  <w:r w:rsidRPr="00B178D2">
                    <w:rPr>
                      <w:rFonts w:hint="eastAsia"/>
                    </w:rPr>
                    <w:t>退市</w:t>
                  </w:r>
                  <w:r w:rsidRPr="00B178D2">
                    <w:rPr>
                      <w:rFonts w:hint="eastAsia"/>
                    </w:rPr>
                    <w:t>)</w:t>
                  </w:r>
                </w:p>
              </w:tc>
              <w:tc>
                <w:tcPr>
                  <w:tcW w:w="1275" w:type="dxa"/>
                  <w:noWrap/>
                  <w:hideMark/>
                </w:tcPr>
                <w:p w14:paraId="44E438FF"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2024-01-25</w:t>
                  </w:r>
                </w:p>
              </w:tc>
              <w:tc>
                <w:tcPr>
                  <w:tcW w:w="1276" w:type="dxa"/>
                  <w:noWrap/>
                  <w:hideMark/>
                </w:tcPr>
                <w:p w14:paraId="026B6E06"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0.40</w:t>
                  </w:r>
                </w:p>
              </w:tc>
              <w:tc>
                <w:tcPr>
                  <w:tcW w:w="1755" w:type="dxa"/>
                  <w:noWrap/>
                  <w:hideMark/>
                </w:tcPr>
                <w:p w14:paraId="6E68986B"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-1.28</w:t>
                  </w:r>
                </w:p>
              </w:tc>
              <w:tc>
                <w:tcPr>
                  <w:tcW w:w="2412" w:type="dxa"/>
                  <w:noWrap/>
                  <w:hideMark/>
                </w:tcPr>
                <w:p w14:paraId="3DAC4293" w14:textId="77777777" w:rsidR="00B178D2" w:rsidRPr="00B178D2" w:rsidRDefault="00B178D2" w:rsidP="00B178D2">
                  <w:pPr>
                    <w:cnfStyle w:val="000000100000" w:firstRow="0" w:lastRow="0" w:firstColumn="0" w:lastColumn="0" w:oddVBand="0" w:evenVBand="0" w:oddHBand="1" w:evenHBand="0" w:firstRowFirstColumn="0" w:firstRowLastColumn="0" w:lastRowFirstColumn="0" w:lastRowLastColumn="0"/>
                  </w:pPr>
                  <w:r w:rsidRPr="00B178D2">
                    <w:rPr>
                      <w:rFonts w:hint="eastAsia"/>
                    </w:rPr>
                    <w:t>其它不符合挂牌的情形</w:t>
                  </w:r>
                </w:p>
              </w:tc>
            </w:tr>
            <w:tr w:rsidR="00B178D2" w:rsidRPr="00B178D2" w14:paraId="6C91E417" w14:textId="77777777" w:rsidTr="00B178D2">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34" w:type="dxa"/>
                  <w:noWrap/>
                  <w:hideMark/>
                </w:tcPr>
                <w:p w14:paraId="7B3E69E6" w14:textId="77777777" w:rsidR="00B178D2" w:rsidRPr="00B178D2" w:rsidRDefault="00B178D2" w:rsidP="00B178D2">
                  <w:pPr>
                    <w:rPr>
                      <w:rFonts w:ascii="Times New Roman" w:hAnsi="Times New Roman"/>
                    </w:rPr>
                  </w:pPr>
                  <w:r w:rsidRPr="00B178D2">
                    <w:rPr>
                      <w:rFonts w:ascii="Times New Roman" w:hAnsi="Times New Roman" w:hint="eastAsia"/>
                    </w:rPr>
                    <w:t>600290.SH</w:t>
                  </w:r>
                </w:p>
              </w:tc>
              <w:tc>
                <w:tcPr>
                  <w:tcW w:w="1722" w:type="dxa"/>
                  <w:noWrap/>
                  <w:hideMark/>
                </w:tcPr>
                <w:p w14:paraId="24719976"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*ST</w:t>
                  </w:r>
                  <w:r w:rsidRPr="00B178D2">
                    <w:rPr>
                      <w:rFonts w:hint="eastAsia"/>
                    </w:rPr>
                    <w:t>华仪</w:t>
                  </w:r>
                  <w:r w:rsidRPr="00B178D2">
                    <w:rPr>
                      <w:rFonts w:hint="eastAsia"/>
                    </w:rPr>
                    <w:t>(</w:t>
                  </w:r>
                  <w:r w:rsidRPr="00B178D2">
                    <w:rPr>
                      <w:rFonts w:hint="eastAsia"/>
                    </w:rPr>
                    <w:t>退市</w:t>
                  </w:r>
                  <w:r w:rsidRPr="00B178D2">
                    <w:rPr>
                      <w:rFonts w:hint="eastAsia"/>
                    </w:rPr>
                    <w:t>)</w:t>
                  </w:r>
                </w:p>
              </w:tc>
              <w:tc>
                <w:tcPr>
                  <w:tcW w:w="1275" w:type="dxa"/>
                  <w:noWrap/>
                  <w:hideMark/>
                </w:tcPr>
                <w:p w14:paraId="351915EA"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2024-01-16</w:t>
                  </w:r>
                </w:p>
              </w:tc>
              <w:tc>
                <w:tcPr>
                  <w:tcW w:w="1276" w:type="dxa"/>
                  <w:noWrap/>
                  <w:hideMark/>
                </w:tcPr>
                <w:p w14:paraId="1E6A87E1"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0.37</w:t>
                  </w:r>
                </w:p>
              </w:tc>
              <w:tc>
                <w:tcPr>
                  <w:tcW w:w="1755" w:type="dxa"/>
                  <w:noWrap/>
                  <w:hideMark/>
                </w:tcPr>
                <w:p w14:paraId="77EB7C5B"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-0.28</w:t>
                  </w:r>
                </w:p>
              </w:tc>
              <w:tc>
                <w:tcPr>
                  <w:tcW w:w="2412" w:type="dxa"/>
                  <w:noWrap/>
                  <w:hideMark/>
                </w:tcPr>
                <w:p w14:paraId="200EA30D" w14:textId="77777777" w:rsidR="00B178D2" w:rsidRPr="00B178D2" w:rsidRDefault="00B178D2" w:rsidP="00B178D2">
                  <w:pPr>
                    <w:cnfStyle w:val="000000010000" w:firstRow="0" w:lastRow="0" w:firstColumn="0" w:lastColumn="0" w:oddVBand="0" w:evenVBand="0" w:oddHBand="0" w:evenHBand="1" w:firstRowFirstColumn="0" w:firstRowLastColumn="0" w:lastRowFirstColumn="0" w:lastRowLastColumn="0"/>
                  </w:pPr>
                  <w:r w:rsidRPr="00B178D2">
                    <w:rPr>
                      <w:rFonts w:hint="eastAsia"/>
                    </w:rPr>
                    <w:t>股价低于面值</w:t>
                  </w:r>
                </w:p>
              </w:tc>
            </w:tr>
          </w:tbl>
          <w:p w14:paraId="53896805" w14:textId="77777777" w:rsidR="000A3E3D" w:rsidRDefault="000A3E3D" w:rsidP="00A70D70">
            <w:pPr>
              <w:tabs>
                <w:tab w:val="left" w:pos="720"/>
              </w:tabs>
              <w:autoSpaceDE w:val="0"/>
              <w:autoSpaceDN w:val="0"/>
              <w:adjustRightInd w:val="0"/>
              <w:ind w:right="18"/>
              <w:jc w:val="left"/>
              <w:outlineLvl w:val="0"/>
              <w:rPr>
                <w:rFonts w:ascii="楷体" w:eastAsia="楷体" w:hAnsi="楷体"/>
                <w:color w:val="800000"/>
                <w:sz w:val="24"/>
              </w:rPr>
            </w:pPr>
          </w:p>
        </w:tc>
      </w:tr>
      <w:tr w:rsidR="000A3E3D" w14:paraId="3DA457BC" w14:textId="77777777" w:rsidTr="00A70D70">
        <w:trPr>
          <w:trHeight w:val="283"/>
          <w:jc w:val="center"/>
        </w:trPr>
        <w:tc>
          <w:tcPr>
            <w:tcW w:w="10205" w:type="dxa"/>
            <w:tcBorders>
              <w:top w:val="single" w:sz="12" w:space="0" w:color="auto"/>
            </w:tcBorders>
            <w:shd w:val="clear" w:color="auto" w:fill="auto"/>
          </w:tcPr>
          <w:p w14:paraId="14ADD940" w14:textId="20993D76" w:rsidR="000A3E3D" w:rsidRDefault="000A3E3D" w:rsidP="00A70D70">
            <w:pPr>
              <w:tabs>
                <w:tab w:val="left" w:pos="720"/>
              </w:tabs>
              <w:autoSpaceDE w:val="0"/>
              <w:autoSpaceDN w:val="0"/>
              <w:adjustRightInd w:val="0"/>
              <w:ind w:right="18"/>
              <w:jc w:val="left"/>
              <w:rPr>
                <w:rFonts w:ascii="楷体_GB2312" w:eastAsia="楷体_GB2312" w:hAnsi="楷体"/>
                <w:i/>
                <w:color w:val="000000"/>
                <w:sz w:val="18"/>
                <w:szCs w:val="18"/>
              </w:rPr>
            </w:pPr>
            <w:r w:rsidRPr="00FA41D0">
              <w:rPr>
                <w:rFonts w:ascii="楷体_GB2312" w:eastAsia="楷体_GB2312" w:hAnsi="楷体" w:hint="eastAsia"/>
                <w:i/>
                <w:color w:val="000000"/>
                <w:sz w:val="18"/>
                <w:szCs w:val="18"/>
              </w:rPr>
              <w:t>资料来源：</w:t>
            </w:r>
            <w:r w:rsidR="00B178D2">
              <w:rPr>
                <w:rFonts w:ascii="楷体_GB2312" w:eastAsia="楷体_GB2312" w:hAnsi="楷体" w:hint="eastAsia"/>
                <w:i/>
                <w:color w:val="000000"/>
                <w:sz w:val="18"/>
                <w:szCs w:val="18"/>
              </w:rPr>
              <w:t>Wind</w:t>
            </w:r>
            <w:r>
              <w:rPr>
                <w:rFonts w:ascii="楷体_GB2312" w:eastAsia="楷体_GB2312" w:hAnsi="楷体" w:hint="eastAsia"/>
                <w:i/>
                <w:color w:val="000000"/>
                <w:sz w:val="18"/>
                <w:szCs w:val="18"/>
              </w:rPr>
              <w:t>、</w:t>
            </w:r>
            <w:r w:rsidRPr="00FA41D0">
              <w:rPr>
                <w:rFonts w:ascii="楷体_GB2312" w:eastAsia="楷体_GB2312" w:hAnsi="楷体" w:hint="eastAsia"/>
                <w:i/>
                <w:color w:val="000000"/>
                <w:sz w:val="18"/>
                <w:szCs w:val="18"/>
              </w:rPr>
              <w:t>万联证券研究所</w:t>
            </w:r>
            <w:r>
              <w:rPr>
                <w:rFonts w:ascii="楷体_GB2312" w:eastAsia="楷体_GB2312" w:hAnsi="楷体" w:hint="eastAsia"/>
                <w:i/>
                <w:color w:val="000000"/>
                <w:sz w:val="18"/>
                <w:szCs w:val="18"/>
              </w:rPr>
              <w:t>整理</w:t>
            </w:r>
          </w:p>
          <w:p w14:paraId="6C741DB3" w14:textId="77777777" w:rsidR="000A3E3D" w:rsidRPr="00FA41D0" w:rsidRDefault="000A3E3D" w:rsidP="00A70D70">
            <w:pPr>
              <w:tabs>
                <w:tab w:val="left" w:pos="720"/>
              </w:tabs>
              <w:autoSpaceDE w:val="0"/>
              <w:autoSpaceDN w:val="0"/>
              <w:adjustRightInd w:val="0"/>
              <w:ind w:right="18"/>
              <w:jc w:val="left"/>
              <w:rPr>
                <w:rFonts w:ascii="楷体_GB2312" w:eastAsia="楷体_GB2312" w:hAnsi="楷体"/>
                <w:i/>
                <w:color w:val="000000"/>
                <w:sz w:val="18"/>
                <w:szCs w:val="18"/>
              </w:rPr>
            </w:pPr>
          </w:p>
        </w:tc>
      </w:tr>
    </w:tbl>
    <w:p w14:paraId="7DE1814F" w14:textId="7E9915DC" w:rsidR="00BC327F" w:rsidRPr="00D21032" w:rsidRDefault="00264728" w:rsidP="00D21032">
      <w:pPr>
        <w:pStyle w:val="a7"/>
        <w:spacing w:before="156" w:after="156"/>
        <w:ind w:left="2520"/>
        <w:rPr>
          <w:b/>
          <w:bCs/>
          <w:color w:val="000000" w:themeColor="text1"/>
        </w:rPr>
      </w:pPr>
      <w:r>
        <w:rPr>
          <w:rFonts w:hint="eastAsia"/>
          <w:color w:val="000000" w:themeColor="text1"/>
        </w:rPr>
        <w:t>新“国九条”</w:t>
      </w:r>
      <w:r w:rsidR="00BC327F" w:rsidRPr="00BC327F">
        <w:rPr>
          <w:rFonts w:hint="eastAsia"/>
          <w:color w:val="000000" w:themeColor="text1"/>
        </w:rPr>
        <w:t>意见明确</w:t>
      </w:r>
      <w:proofErr w:type="gramStart"/>
      <w:r w:rsidR="00BC327F" w:rsidRPr="00BC327F">
        <w:rPr>
          <w:rFonts w:hint="eastAsia"/>
          <w:color w:val="000000" w:themeColor="text1"/>
        </w:rPr>
        <w:t>健全退</w:t>
      </w:r>
      <w:proofErr w:type="gramEnd"/>
      <w:r w:rsidR="00BC327F" w:rsidRPr="00BC327F">
        <w:rPr>
          <w:rFonts w:hint="eastAsia"/>
          <w:color w:val="000000" w:themeColor="text1"/>
        </w:rPr>
        <w:t>市过程中的投资者赔偿救济机制，对重大违法退市负有责任的控股股东、实际控制人、董事、高管等要依法赔偿投资者损失。</w:t>
      </w:r>
      <w:r w:rsidR="00BC327F" w:rsidRPr="003A1070">
        <w:rPr>
          <w:rFonts w:hint="eastAsia"/>
          <w:b/>
          <w:bCs/>
          <w:color w:val="000000" w:themeColor="text1"/>
        </w:rPr>
        <w:t>预计证监会将继续</w:t>
      </w:r>
      <w:proofErr w:type="gramStart"/>
      <w:r w:rsidR="00BC327F" w:rsidRPr="003A1070">
        <w:rPr>
          <w:rFonts w:hint="eastAsia"/>
          <w:b/>
          <w:bCs/>
          <w:color w:val="000000" w:themeColor="text1"/>
        </w:rPr>
        <w:t>畅通退</w:t>
      </w:r>
      <w:proofErr w:type="gramEnd"/>
      <w:r w:rsidR="00BC327F" w:rsidRPr="003A1070">
        <w:rPr>
          <w:rFonts w:hint="eastAsia"/>
          <w:b/>
          <w:bCs/>
          <w:color w:val="000000" w:themeColor="text1"/>
        </w:rPr>
        <w:t>市出清机制，推动“</w:t>
      </w:r>
      <w:r w:rsidR="00AC1ECE">
        <w:rPr>
          <w:rFonts w:hint="eastAsia"/>
          <w:b/>
          <w:bCs/>
          <w:color w:val="000000" w:themeColor="text1"/>
        </w:rPr>
        <w:t>应退尽退</w:t>
      </w:r>
      <w:r w:rsidR="00BC327F" w:rsidRPr="003A1070">
        <w:rPr>
          <w:rFonts w:hint="eastAsia"/>
          <w:b/>
          <w:bCs/>
          <w:color w:val="000000" w:themeColor="text1"/>
        </w:rPr>
        <w:t>”，</w:t>
      </w:r>
      <w:r w:rsidR="00D21032" w:rsidRPr="003A1070">
        <w:rPr>
          <w:rFonts w:hint="eastAsia"/>
          <w:b/>
          <w:bCs/>
          <w:color w:val="000000" w:themeColor="text1"/>
        </w:rPr>
        <w:t>针对不同类别、不同板块的退市指标认定将更加细化、退市标准更加清晰，退市执行力度将提高。</w:t>
      </w:r>
      <w:r w:rsidR="00BC327F" w:rsidRPr="003A1070">
        <w:rPr>
          <w:rFonts w:hint="eastAsia"/>
          <w:b/>
          <w:bCs/>
          <w:color w:val="000000" w:themeColor="text1"/>
        </w:rPr>
        <w:t>同时更加重视保障相关投资者的合法权益。</w:t>
      </w:r>
    </w:p>
    <w:p w14:paraId="42716E99" w14:textId="0A38D8AD" w:rsidR="00875163" w:rsidRDefault="00875163" w:rsidP="00476F81">
      <w:pPr>
        <w:pStyle w:val="a"/>
      </w:pPr>
      <w:bookmarkStart w:id="22" w:name="_Toc163928348"/>
      <w:r>
        <w:rPr>
          <w:rFonts w:hint="eastAsia"/>
        </w:rPr>
        <w:t>强化交易监管，稳定市场预期</w:t>
      </w:r>
      <w:bookmarkEnd w:id="22"/>
    </w:p>
    <w:p w14:paraId="307425D8" w14:textId="5363835B" w:rsidR="004A08D7" w:rsidRDefault="00A41320" w:rsidP="00BC327F">
      <w:pPr>
        <w:pStyle w:val="a7"/>
        <w:spacing w:before="156" w:after="156"/>
        <w:ind w:left="2520"/>
        <w:rPr>
          <w:color w:val="000000" w:themeColor="text1"/>
        </w:rPr>
      </w:pPr>
      <w:r w:rsidRPr="00A41320">
        <w:rPr>
          <w:rFonts w:hint="eastAsia"/>
          <w:b/>
          <w:bCs/>
          <w:color w:val="000000" w:themeColor="text1"/>
        </w:rPr>
        <w:t>新“国九条”</w:t>
      </w:r>
      <w:r w:rsidR="00BC327F" w:rsidRPr="00A41320">
        <w:rPr>
          <w:rFonts w:hint="eastAsia"/>
          <w:b/>
          <w:bCs/>
          <w:color w:val="000000" w:themeColor="text1"/>
        </w:rPr>
        <w:t>加强战略性力量储备与稳定市场机制建设，强化交易行为监管，着力</w:t>
      </w:r>
      <w:r w:rsidR="001E60C7">
        <w:rPr>
          <w:rFonts w:hint="eastAsia"/>
          <w:b/>
          <w:bCs/>
          <w:color w:val="000000" w:themeColor="text1"/>
        </w:rPr>
        <w:t>稳定</w:t>
      </w:r>
      <w:r w:rsidR="00BC327F" w:rsidRPr="00A41320">
        <w:rPr>
          <w:rFonts w:hint="eastAsia"/>
          <w:b/>
          <w:bCs/>
          <w:color w:val="000000" w:themeColor="text1"/>
        </w:rPr>
        <w:t>市场预期</w:t>
      </w:r>
      <w:r w:rsidR="005F53FA">
        <w:rPr>
          <w:rFonts w:hint="eastAsia"/>
          <w:b/>
          <w:bCs/>
          <w:color w:val="000000" w:themeColor="text1"/>
        </w:rPr>
        <w:t>，</w:t>
      </w:r>
      <w:r w:rsidR="005F53FA" w:rsidRPr="005F53FA">
        <w:rPr>
          <w:rFonts w:hint="eastAsia"/>
          <w:b/>
          <w:bCs/>
          <w:color w:val="000000" w:themeColor="text1"/>
        </w:rPr>
        <w:t>吸引中长期机构投资</w:t>
      </w:r>
      <w:r>
        <w:rPr>
          <w:rFonts w:hint="eastAsia"/>
          <w:color w:val="000000" w:themeColor="text1"/>
        </w:rPr>
        <w:t>。</w:t>
      </w:r>
      <w:r w:rsidR="00BC327F" w:rsidRPr="00BC327F">
        <w:rPr>
          <w:rFonts w:hint="eastAsia"/>
          <w:color w:val="000000" w:themeColor="text1"/>
        </w:rPr>
        <w:t>意见提出三大要求：（</w:t>
      </w:r>
      <w:r w:rsidR="00BC327F" w:rsidRPr="00BC327F">
        <w:rPr>
          <w:color w:val="000000" w:themeColor="text1"/>
        </w:rPr>
        <w:t>1</w:t>
      </w:r>
      <w:r w:rsidR="00BC327F" w:rsidRPr="00BC327F">
        <w:rPr>
          <w:rFonts w:hint="eastAsia"/>
          <w:color w:val="000000" w:themeColor="text1"/>
        </w:rPr>
        <w:t>）促进市场平稳运行。意见提出集中整治私募基金领域突出风险隐患。做好跨市场跨行业跨境风险监测应对；（</w:t>
      </w:r>
      <w:r w:rsidR="00BC327F" w:rsidRPr="00BC327F">
        <w:rPr>
          <w:color w:val="000000" w:themeColor="text1"/>
        </w:rPr>
        <w:t>2</w:t>
      </w:r>
      <w:r w:rsidR="00BC327F" w:rsidRPr="00BC327F">
        <w:rPr>
          <w:rFonts w:hint="eastAsia"/>
          <w:color w:val="000000" w:themeColor="text1"/>
        </w:rPr>
        <w:t>）加强交易监管。意见提出出台程序化交易监管规定，加强对高频量化交易监管；制定私募证券基金运作规则；完善极端情形的应对措施；严肃查处操纵市场恶意做空等违法违规行为等一系列要求。（3）健全预期管理机制。将重大经济或非经济政策对资本市场的影响评估内容纳入宏观政策取向一致性评估框架，建立重大政策信息发布协调机制。</w:t>
      </w:r>
    </w:p>
    <w:p w14:paraId="10ADAD29" w14:textId="09F69A30" w:rsidR="004A08D7" w:rsidRDefault="004A08D7" w:rsidP="00BC327F">
      <w:pPr>
        <w:pStyle w:val="a7"/>
        <w:spacing w:before="156" w:after="156"/>
        <w:ind w:left="2520"/>
        <w:rPr>
          <w:color w:val="000000" w:themeColor="text1"/>
        </w:rPr>
      </w:pPr>
      <w:r w:rsidRPr="004A08D7">
        <w:rPr>
          <w:rFonts w:hint="eastAsia"/>
          <w:color w:val="000000" w:themeColor="text1"/>
        </w:rPr>
        <w:t>证监会同步制定《证券市场程序化交易管理规定（试行）》。明确程序化交易的定义、总体要求及报告要求。对交易监测和风险防控、信息系统管理提出具体要求。同时，加强高频交易监管。</w:t>
      </w:r>
      <w:r w:rsidR="00776837">
        <w:rPr>
          <w:rFonts w:hint="eastAsia"/>
          <w:color w:val="000000" w:themeColor="text1"/>
        </w:rPr>
        <w:t>交易所</w:t>
      </w:r>
      <w:r w:rsidRPr="004A08D7">
        <w:rPr>
          <w:rFonts w:hint="eastAsia"/>
          <w:color w:val="000000" w:themeColor="text1"/>
        </w:rPr>
        <w:t>对申报笔数、频率达到一定标准的程序化交易投资者实施重点监管，对行情使用费、流量费等相关费用作出差异化安排，适当提高现有收费标准或者增收其他费用</w:t>
      </w:r>
      <w:r w:rsidR="00776837">
        <w:rPr>
          <w:rFonts w:hint="eastAsia"/>
          <w:color w:val="000000" w:themeColor="text1"/>
        </w:rPr>
        <w:t>。</w:t>
      </w:r>
    </w:p>
    <w:p w14:paraId="02BCD6E3" w14:textId="17609069" w:rsidR="00915C3E" w:rsidRPr="004E22DB" w:rsidRDefault="00915C3E" w:rsidP="00915C3E">
      <w:pPr>
        <w:pStyle w:val="a"/>
      </w:pPr>
      <w:bookmarkStart w:id="23" w:name="_Toc163928349"/>
      <w:r>
        <w:rPr>
          <w:rFonts w:hint="eastAsia"/>
        </w:rPr>
        <w:t>投资建议</w:t>
      </w:r>
      <w:bookmarkEnd w:id="23"/>
    </w:p>
    <w:p w14:paraId="13B430B2" w14:textId="1B55BFCA" w:rsidR="00915C3E" w:rsidRDefault="00571B66" w:rsidP="00584DBC">
      <w:pPr>
        <w:pStyle w:val="a7"/>
        <w:spacing w:before="156" w:after="156"/>
        <w:ind w:left="2520"/>
      </w:pPr>
      <w:r>
        <w:rPr>
          <w:rFonts w:hint="eastAsia"/>
        </w:rPr>
        <w:t>新“国九条”发布与</w:t>
      </w:r>
      <w:r w:rsidR="007E1352">
        <w:rPr>
          <w:rFonts w:hint="eastAsia"/>
        </w:rPr>
        <w:t>证监会</w:t>
      </w:r>
      <w:r>
        <w:rPr>
          <w:rFonts w:hint="eastAsia"/>
        </w:rPr>
        <w:t>、交易所等一系列政策</w:t>
      </w:r>
      <w:r w:rsidR="00FD5E7F" w:rsidRPr="00FD5E7F">
        <w:rPr>
          <w:rFonts w:hint="eastAsia"/>
        </w:rPr>
        <w:t>组合，</w:t>
      </w:r>
      <w:r w:rsidR="00A54BCB">
        <w:rPr>
          <w:rFonts w:hint="eastAsia"/>
        </w:rPr>
        <w:t>体现</w:t>
      </w:r>
      <w:r w:rsidR="003F4048">
        <w:rPr>
          <w:rFonts w:hint="eastAsia"/>
        </w:rPr>
        <w:t>坚持以投资者为本</w:t>
      </w:r>
      <w:r w:rsidR="00A54BCB">
        <w:rPr>
          <w:rFonts w:hint="eastAsia"/>
        </w:rPr>
        <w:t>的监管导向</w:t>
      </w:r>
      <w:r w:rsidR="003F4048">
        <w:rPr>
          <w:rFonts w:hint="eastAsia"/>
        </w:rPr>
        <w:t>，</w:t>
      </w:r>
      <w:r w:rsidR="00A54BCB" w:rsidRPr="00A54BCB">
        <w:rPr>
          <w:rFonts w:hint="eastAsia"/>
        </w:rPr>
        <w:t>加大投资者保护力度</w:t>
      </w:r>
      <w:r w:rsidR="00A54BCB">
        <w:rPr>
          <w:rFonts w:hint="eastAsia"/>
        </w:rPr>
        <w:t>，</w:t>
      </w:r>
      <w:r w:rsidR="003F4048">
        <w:rPr>
          <w:rFonts w:hint="eastAsia"/>
        </w:rPr>
        <w:t>将</w:t>
      </w:r>
      <w:r w:rsidR="0012333B">
        <w:rPr>
          <w:rFonts w:hint="eastAsia"/>
        </w:rPr>
        <w:t>有力推动资本市场高质量发展</w:t>
      </w:r>
      <w:r w:rsidR="00FD5E7F" w:rsidRPr="00FD5E7F">
        <w:rPr>
          <w:rFonts w:hint="eastAsia"/>
        </w:rPr>
        <w:t>，</w:t>
      </w:r>
      <w:r w:rsidR="0012333B">
        <w:rPr>
          <w:rFonts w:hint="eastAsia"/>
        </w:rPr>
        <w:t>预计投资者情绪</w:t>
      </w:r>
      <w:r w:rsidR="003F4048">
        <w:rPr>
          <w:rFonts w:hint="eastAsia"/>
        </w:rPr>
        <w:t>将得到提振</w:t>
      </w:r>
      <w:r w:rsidR="0012333B">
        <w:rPr>
          <w:rFonts w:hint="eastAsia"/>
        </w:rPr>
        <w:t>，推动</w:t>
      </w:r>
      <w:r w:rsidRPr="00FD5E7F">
        <w:rPr>
          <w:rFonts w:hint="eastAsia"/>
        </w:rPr>
        <w:t>市场信心回暖</w:t>
      </w:r>
      <w:r w:rsidR="0047207B">
        <w:rPr>
          <w:rFonts w:hint="eastAsia"/>
        </w:rPr>
        <w:t>，</w:t>
      </w:r>
      <w:r w:rsidR="00FD5E7F" w:rsidRPr="00FD5E7F">
        <w:rPr>
          <w:rFonts w:hint="eastAsia"/>
        </w:rPr>
        <w:t>吸引中长期资金</w:t>
      </w:r>
      <w:r w:rsidR="0047207B">
        <w:rPr>
          <w:rFonts w:hint="eastAsia"/>
        </w:rPr>
        <w:t>入市</w:t>
      </w:r>
      <w:r w:rsidR="00FD5E7F" w:rsidRPr="00FD5E7F">
        <w:rPr>
          <w:rFonts w:hint="eastAsia"/>
        </w:rPr>
        <w:t>。</w:t>
      </w:r>
      <w:r w:rsidR="000C5175">
        <w:rPr>
          <w:rFonts w:hint="eastAsia"/>
        </w:rPr>
        <w:t>建议关注：</w:t>
      </w:r>
      <w:r w:rsidR="00915C3E" w:rsidRPr="00915C3E">
        <w:rPr>
          <w:rFonts w:hint="eastAsia"/>
        </w:rPr>
        <w:t>（1）经营</w:t>
      </w:r>
      <w:r w:rsidR="00CC3B94">
        <w:rPr>
          <w:rFonts w:hint="eastAsia"/>
        </w:rPr>
        <w:t>较为</w:t>
      </w:r>
      <w:r w:rsidR="00915C3E" w:rsidRPr="00915C3E">
        <w:rPr>
          <w:rFonts w:hint="eastAsia"/>
        </w:rPr>
        <w:t>稳健</w:t>
      </w:r>
      <w:r>
        <w:rPr>
          <w:rFonts w:hint="eastAsia"/>
        </w:rPr>
        <w:t>、业绩改善幅度较大</w:t>
      </w:r>
      <w:r w:rsidR="000237B4">
        <w:rPr>
          <w:rFonts w:hint="eastAsia"/>
        </w:rPr>
        <w:t>及</w:t>
      </w:r>
      <w:r w:rsidR="00CC3B94">
        <w:rPr>
          <w:rFonts w:hint="eastAsia"/>
        </w:rPr>
        <w:t>历史分红比例较高的</w:t>
      </w:r>
      <w:r>
        <w:rPr>
          <w:rFonts w:hint="eastAsia"/>
        </w:rPr>
        <w:t>上市公司</w:t>
      </w:r>
      <w:r w:rsidR="00915C3E" w:rsidRPr="00915C3E">
        <w:rPr>
          <w:rFonts w:hint="eastAsia"/>
        </w:rPr>
        <w:t>；（2）</w:t>
      </w:r>
      <w:r>
        <w:rPr>
          <w:rFonts w:hint="eastAsia"/>
        </w:rPr>
        <w:t>行业技术壁垒较高、自身科技研发实力较强的</w:t>
      </w:r>
      <w:r w:rsidR="00A51771">
        <w:rPr>
          <w:rFonts w:hint="eastAsia"/>
        </w:rPr>
        <w:t>科技型企业，</w:t>
      </w:r>
      <w:r w:rsidR="00675DD5">
        <w:rPr>
          <w:rFonts w:hint="eastAsia"/>
        </w:rPr>
        <w:t>可</w:t>
      </w:r>
      <w:r w:rsidR="00A51771">
        <w:rPr>
          <w:rFonts w:hint="eastAsia"/>
        </w:rPr>
        <w:t>重点关注</w:t>
      </w:r>
      <w:r>
        <w:rPr>
          <w:rFonts w:hint="eastAsia"/>
        </w:rPr>
        <w:t>专精特新小巨人企业</w:t>
      </w:r>
      <w:r w:rsidR="00CC3B94" w:rsidRPr="00CC3B94">
        <w:rPr>
          <w:rFonts w:hint="eastAsia"/>
        </w:rPr>
        <w:t>。</w:t>
      </w:r>
    </w:p>
    <w:p w14:paraId="10904978" w14:textId="480F37C5" w:rsidR="00915C3E" w:rsidRPr="004E22DB" w:rsidRDefault="00915C3E" w:rsidP="00915C3E">
      <w:pPr>
        <w:pStyle w:val="a"/>
        <w:spacing w:before="156" w:after="156"/>
        <w:ind w:left="2520"/>
      </w:pPr>
      <w:bookmarkStart w:id="24" w:name="_Toc163928350"/>
      <w:r>
        <w:rPr>
          <w:rFonts w:hint="eastAsia"/>
        </w:rPr>
        <w:t>风险因素</w:t>
      </w:r>
      <w:bookmarkEnd w:id="24"/>
    </w:p>
    <w:p w14:paraId="5F4A746B" w14:textId="63B5ACD6" w:rsidR="00584DBC" w:rsidRDefault="00F31A8E" w:rsidP="000E4799">
      <w:pPr>
        <w:pStyle w:val="a7"/>
        <w:spacing w:before="156" w:after="156"/>
        <w:ind w:left="2520"/>
      </w:pPr>
      <w:r w:rsidRPr="00F31A8E">
        <w:rPr>
          <w:rFonts w:hint="eastAsia"/>
        </w:rPr>
        <w:t>政策效果未如预期；国内经济表现不及预期；投资者情绪波动</w:t>
      </w:r>
      <w:r w:rsidR="00346AD0" w:rsidRPr="00346AD0">
        <w:rPr>
          <w:rFonts w:hint="eastAsia"/>
        </w:rPr>
        <w:t>。</w:t>
      </w:r>
    </w:p>
    <w:p w14:paraId="25F21BC2" w14:textId="161A7D67" w:rsidR="003B0AB9" w:rsidRDefault="003B0AB9" w:rsidP="003B0AB9">
      <w:pPr>
        <w:pStyle w:val="a7"/>
        <w:spacing w:before="156" w:after="156" w:line="14" w:lineRule="exact"/>
        <w:ind w:left="2520"/>
      </w:pPr>
    </w:p>
    <w:p w14:paraId="1149878D" w14:textId="4CE1E95D" w:rsidR="00D17DE0" w:rsidRDefault="00D17DE0" w:rsidP="003B0AB9">
      <w:pPr>
        <w:pStyle w:val="a7"/>
        <w:spacing w:before="156" w:after="156" w:line="14" w:lineRule="exact"/>
        <w:ind w:left="2520"/>
      </w:pPr>
    </w:p>
    <w:p w14:paraId="11C27705" w14:textId="77777777" w:rsidR="00D17DE0" w:rsidRDefault="00D17DE0" w:rsidP="003B0AB9">
      <w:pPr>
        <w:pStyle w:val="a7"/>
        <w:spacing w:before="156" w:after="156" w:line="14" w:lineRule="exact"/>
        <w:ind w:left="2520"/>
      </w:pPr>
    </w:p>
    <w:p w14:paraId="541FA7C2" w14:textId="77777777" w:rsidR="003B0AB9" w:rsidRDefault="003B0AB9" w:rsidP="003B0AB9">
      <w:pPr>
        <w:pStyle w:val="a7"/>
        <w:spacing w:before="156" w:after="156" w:line="14" w:lineRule="exact"/>
        <w:ind w:leftChars="0" w:left="0"/>
        <w:sectPr w:rsidR="003B0AB9" w:rsidSect="00097663">
          <w:pgSz w:w="11906" w:h="16838" w:code="9"/>
          <w:pgMar w:top="709" w:right="851" w:bottom="851" w:left="851" w:header="284" w:footer="284" w:gutter="0"/>
          <w:cols w:space="425"/>
          <w:docGrid w:type="lines" w:linePitch="312"/>
        </w:sectPr>
      </w:pPr>
    </w:p>
    <w:sdt>
      <w:sdtPr>
        <w:rPr>
          <w:color w:val="FF0000"/>
        </w:rPr>
        <w:id w:val="-1071804490"/>
        <w:lock w:val="sdtContentLocked"/>
        <w:placeholder>
          <w:docPart w:val="DefaultPlaceholder_-1854013440"/>
        </w:placeholder>
      </w:sdtPr>
      <w:sdtEndPr>
        <w:rPr>
          <w:color w:val="FFFFFF" w:themeColor="background1"/>
        </w:rPr>
      </w:sdtEndPr>
      <w:sdtContent>
        <w:p w14:paraId="13056C25" w14:textId="74E3624B" w:rsidR="00762FA6" w:rsidRPr="00E2327A" w:rsidRDefault="00D17DE0" w:rsidP="00E2327A">
          <w:pPr>
            <w:spacing w:line="14" w:lineRule="exact"/>
            <w:rPr>
              <w:color w:val="FFFFFF" w:themeColor="background1"/>
            </w:rPr>
          </w:pPr>
          <w:r w:rsidRPr="00E2327A">
            <w:rPr>
              <w:rFonts w:hint="eastAsia"/>
              <w:color w:val="FFFFFF" w:themeColor="background1"/>
            </w:rPr>
            <w:t>$</w:t>
          </w:r>
          <w:r w:rsidRPr="00E2327A">
            <w:rPr>
              <w:color w:val="FFFFFF" w:themeColor="background1"/>
            </w:rPr>
            <w:t>$</w:t>
          </w:r>
          <w:r w:rsidR="00E2327A" w:rsidRPr="00E2327A">
            <w:rPr>
              <w:rFonts w:hint="eastAsia"/>
              <w:color w:val="FFFFFF" w:themeColor="background1"/>
            </w:rPr>
            <w:t>end</w:t>
          </w:r>
          <w:r w:rsidRPr="00E2327A">
            <w:rPr>
              <w:color w:val="FFFFFF" w:themeColor="background1"/>
            </w:rPr>
            <w:t>$$</w:t>
          </w:r>
        </w:p>
      </w:sdtContent>
    </w:sdt>
    <w:tbl>
      <w:tblPr>
        <w:tblStyle w:val="ad"/>
        <w:tblW w:w="0" w:type="auto"/>
        <w:tblBorders>
          <w:top w:val="none" w:sz="0" w:space="0" w:color="auto"/>
          <w:left w:val="none" w:sz="0" w:space="0" w:color="auto"/>
          <w:bottom w:val="single" w:sz="18" w:space="0" w:color="943634"/>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4"/>
      </w:tblGrid>
      <w:tr w:rsidR="00D17DE0" w14:paraId="199895D1" w14:textId="77777777" w:rsidTr="00A964F3">
        <w:tc>
          <w:tcPr>
            <w:tcW w:w="10194" w:type="dxa"/>
          </w:tcPr>
          <w:tbl>
            <w:tblPr>
              <w:tblW w:w="0" w:type="auto"/>
              <w:tblCellMar>
                <w:left w:w="10" w:type="dxa"/>
                <w:right w:w="10" w:type="dxa"/>
              </w:tblCellMar>
              <w:tblLook w:val="04A0" w:firstRow="1" w:lastRow="0" w:firstColumn="1" w:lastColumn="0" w:noHBand="0" w:noVBand="1"/>
            </w:tblPr>
            <w:tblGrid>
              <w:gridCol w:w="9968"/>
            </w:tblGrid>
            <w:tr w:rsidR="001621E0" w:rsidRPr="00B25B0B" w14:paraId="63B54B0F" w14:textId="77777777" w:rsidTr="00356F04">
              <w:trPr>
                <w:trHeight w:hRule="exact" w:val="23"/>
              </w:trPr>
              <w:tc>
                <w:tcPr>
                  <w:tcW w:w="9968" w:type="dxa"/>
                </w:tcPr>
                <w:p w14:paraId="5393AF34" w14:textId="77777777" w:rsidR="001621E0" w:rsidRPr="00B25B0B" w:rsidRDefault="001621E0" w:rsidP="00407775">
                  <w:pPr>
                    <w:widowControl/>
                    <w:jc w:val="left"/>
                    <w:rPr>
                      <w:rFonts w:ascii="Times New Roman" w:eastAsia="楷体_GB2312" w:hAnsi="Times New Roman" w:cs="Times New Roman"/>
                      <w:b/>
                      <w:bCs/>
                    </w:rPr>
                  </w:pPr>
                  <w:r w:rsidRPr="00B25B0B">
                    <w:rPr>
                      <w:rFonts w:ascii="Times New Roman" w:eastAsia="楷体_GB2312" w:hAnsi="Times New Roman" w:cs="Times New Roman"/>
                      <w:b/>
                      <w:bCs/>
                      <w:color w:val="FFFFFF" w:themeColor="background1"/>
                    </w:rPr>
                    <w:t>[</w:t>
                  </w:r>
                  <w:proofErr w:type="spellStart"/>
                  <w:r w:rsidRPr="00B25B0B">
                    <w:rPr>
                      <w:rFonts w:ascii="Times New Roman" w:eastAsia="楷体_GB2312" w:hAnsi="Times New Roman" w:cs="Times New Roman"/>
                      <w:b/>
                      <w:bCs/>
                      <w:color w:val="FFFFFF" w:themeColor="background1"/>
                    </w:rPr>
                    <w:t>Table_InudstryRankInfo</w:t>
                  </w:r>
                  <w:proofErr w:type="spellEnd"/>
                  <w:r w:rsidRPr="00B25B0B">
                    <w:rPr>
                      <w:rFonts w:ascii="Times New Roman" w:eastAsia="楷体_GB2312" w:hAnsi="Times New Roman" w:cs="Times New Roman"/>
                      <w:b/>
                      <w:bCs/>
                      <w:color w:val="FFFFFF" w:themeColor="background1"/>
                    </w:rPr>
                    <w:t>]</w:t>
                  </w:r>
                </w:p>
              </w:tc>
            </w:tr>
            <w:tr w:rsidR="001621E0" w:rsidRPr="00FF10EE" w14:paraId="14374EFE" w14:textId="77777777" w:rsidTr="00356F04">
              <w:tc>
                <w:tcPr>
                  <w:tcW w:w="9968" w:type="dxa"/>
                </w:tcPr>
                <w:p w14:paraId="3D0D713D" w14:textId="77777777" w:rsidR="001621E0" w:rsidRPr="00FF10EE" w:rsidRDefault="001621E0" w:rsidP="00407775">
                  <w:pPr>
                    <w:tabs>
                      <w:tab w:val="left" w:pos="420"/>
                      <w:tab w:val="right" w:leader="dot" w:pos="10194"/>
                    </w:tabs>
                    <w:rPr>
                      <w:rFonts w:ascii="楷体_GB2312" w:eastAsia="楷体_GB2312" w:hAnsi="楷体"/>
                      <w:b/>
                      <w:sz w:val="24"/>
                    </w:rPr>
                  </w:pPr>
                  <w:r w:rsidRPr="00FF10EE">
                    <w:rPr>
                      <w:rFonts w:ascii="楷体_GB2312" w:eastAsia="楷体_GB2312" w:hAnsi="楷体" w:hint="eastAsia"/>
                      <w:b/>
                      <w:sz w:val="24"/>
                    </w:rPr>
                    <w:t>行业投资评级</w:t>
                  </w:r>
                </w:p>
                <w:p w14:paraId="47BE157D"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强于大市：未来</w:t>
                  </w:r>
                  <w:r w:rsidRPr="00FF10EE">
                    <w:rPr>
                      <w:rFonts w:ascii="Times New Roman" w:eastAsia="楷体_GB2312" w:hAnsi="Times New Roman" w:cs="Times New Roman"/>
                      <w:kern w:val="0"/>
                      <w:szCs w:val="32"/>
                      <w:lang w:val="zh-CN"/>
                    </w:rPr>
                    <w:t>6</w:t>
                  </w:r>
                  <w:r w:rsidRPr="00FF10EE">
                    <w:rPr>
                      <w:rFonts w:ascii="楷体_GB2312" w:eastAsia="楷体_GB2312" w:hAnsi="楷体" w:hint="eastAsia"/>
                      <w:kern w:val="0"/>
                      <w:szCs w:val="32"/>
                      <w:lang w:val="zh-CN"/>
                    </w:rPr>
                    <w:t>个月内行业指数相对大盘涨幅</w:t>
                  </w:r>
                  <w:r w:rsidRPr="00FF10EE">
                    <w:rPr>
                      <w:rFonts w:ascii="Times New Roman" w:eastAsia="楷体_GB2312" w:hAnsi="Times New Roman" w:cs="Times New Roman" w:hint="eastAsia"/>
                      <w:kern w:val="0"/>
                      <w:szCs w:val="32"/>
                      <w:lang w:val="zh-CN"/>
                    </w:rPr>
                    <w:t>10</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以上；</w:t>
                  </w:r>
                </w:p>
                <w:p w14:paraId="624B3E90"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同步大市：未来</w:t>
                  </w:r>
                  <w:r w:rsidRPr="00FF10EE">
                    <w:rPr>
                      <w:rFonts w:ascii="Times New Roman" w:eastAsia="楷体_GB2312" w:hAnsi="Times New Roman" w:cs="Times New Roman"/>
                      <w:kern w:val="0"/>
                      <w:szCs w:val="32"/>
                      <w:lang w:val="zh-CN"/>
                    </w:rPr>
                    <w:t>6</w:t>
                  </w:r>
                  <w:r w:rsidRPr="00FF10EE">
                    <w:rPr>
                      <w:rFonts w:ascii="楷体_GB2312" w:eastAsia="楷体_GB2312" w:hAnsi="楷体" w:hint="eastAsia"/>
                      <w:kern w:val="0"/>
                      <w:szCs w:val="32"/>
                      <w:lang w:val="zh-CN"/>
                    </w:rPr>
                    <w:t>个月内行业指数相对大盘涨幅</w:t>
                  </w:r>
                  <w:r w:rsidRPr="00FF10EE">
                    <w:rPr>
                      <w:rFonts w:ascii="Times New Roman" w:eastAsia="楷体_GB2312" w:hAnsi="Times New Roman" w:cs="Times New Roman" w:hint="eastAsia"/>
                      <w:kern w:val="0"/>
                      <w:szCs w:val="32"/>
                      <w:lang w:val="zh-CN"/>
                    </w:rPr>
                    <w:t>10</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至</w:t>
                  </w:r>
                  <w:r w:rsidRPr="00FF10EE">
                    <w:rPr>
                      <w:rFonts w:ascii="Times New Roman" w:eastAsia="楷体_GB2312" w:hAnsi="Times New Roman" w:cs="Times New Roman" w:hint="eastAsia"/>
                      <w:kern w:val="0"/>
                      <w:szCs w:val="32"/>
                      <w:lang w:val="zh-CN"/>
                    </w:rPr>
                    <w:t>-10</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之间；</w:t>
                  </w:r>
                </w:p>
                <w:p w14:paraId="7BAC1890" w14:textId="77777777" w:rsidR="001621E0" w:rsidRPr="00FF10EE" w:rsidRDefault="001621E0" w:rsidP="00407775">
                  <w:pPr>
                    <w:tabs>
                      <w:tab w:val="left" w:pos="720"/>
                    </w:tabs>
                    <w:autoSpaceDE w:val="0"/>
                    <w:autoSpaceDN w:val="0"/>
                    <w:adjustRightInd w:val="0"/>
                    <w:jc w:val="left"/>
                    <w:rPr>
                      <w:rFonts w:ascii="楷体_GB2312" w:eastAsia="楷体_GB2312" w:hAnsi="楷体"/>
                      <w:b/>
                      <w:kern w:val="0"/>
                      <w:sz w:val="24"/>
                      <w:lang w:val="zh-CN"/>
                    </w:rPr>
                  </w:pPr>
                  <w:r w:rsidRPr="00FF10EE">
                    <w:rPr>
                      <w:rFonts w:ascii="楷体_GB2312" w:eastAsia="楷体_GB2312" w:hAnsi="楷体" w:hint="eastAsia"/>
                      <w:kern w:val="0"/>
                      <w:szCs w:val="32"/>
                      <w:lang w:val="zh-CN"/>
                    </w:rPr>
                    <w:t>弱于大市：未来</w:t>
                  </w:r>
                  <w:r w:rsidRPr="00FF10EE">
                    <w:rPr>
                      <w:rFonts w:ascii="Times New Roman" w:eastAsia="楷体_GB2312" w:hAnsi="Times New Roman" w:cs="Times New Roman" w:hint="eastAsia"/>
                      <w:kern w:val="0"/>
                      <w:szCs w:val="32"/>
                      <w:lang w:val="zh-CN"/>
                    </w:rPr>
                    <w:t>6</w:t>
                  </w:r>
                  <w:r w:rsidRPr="00FF10EE">
                    <w:rPr>
                      <w:rFonts w:ascii="楷体_GB2312" w:eastAsia="楷体_GB2312" w:hAnsi="楷体" w:hint="eastAsia"/>
                      <w:kern w:val="0"/>
                      <w:szCs w:val="32"/>
                      <w:lang w:val="zh-CN"/>
                    </w:rPr>
                    <w:t>个月内行业指数相对大盘跌幅</w:t>
                  </w:r>
                  <w:r w:rsidRPr="00FF10EE">
                    <w:rPr>
                      <w:rFonts w:ascii="Times New Roman" w:eastAsia="楷体_GB2312" w:hAnsi="Times New Roman" w:cs="Times New Roman" w:hint="eastAsia"/>
                      <w:kern w:val="0"/>
                      <w:szCs w:val="32"/>
                      <w:lang w:val="zh-CN"/>
                    </w:rPr>
                    <w:t>10</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以上。</w:t>
                  </w:r>
                </w:p>
              </w:tc>
            </w:tr>
          </w:tbl>
          <w:p w14:paraId="211ABB85" w14:textId="77777777" w:rsidR="00D17DE0" w:rsidRPr="00DB7E2E" w:rsidRDefault="00D17DE0" w:rsidP="001621E0">
            <w:pPr>
              <w:widowControl/>
              <w:spacing w:line="20" w:lineRule="exact"/>
              <w:jc w:val="left"/>
              <w:rPr>
                <w:rFonts w:ascii="楷体_GB2312" w:eastAsia="楷体_GB2312"/>
                <w:b/>
                <w:bCs/>
              </w:rPr>
            </w:pPr>
          </w:p>
        </w:tc>
      </w:tr>
      <w:tr w:rsidR="00D17DE0" w14:paraId="6C66D1EF" w14:textId="77777777" w:rsidTr="00A964F3">
        <w:tc>
          <w:tcPr>
            <w:tcW w:w="10194" w:type="dxa"/>
          </w:tcPr>
          <w:p w14:paraId="0DB824C2" w14:textId="77777777" w:rsidR="00D17DE0" w:rsidRPr="00FF10EE" w:rsidRDefault="00D17DE0" w:rsidP="00A964F3">
            <w:pPr>
              <w:widowControl/>
              <w:jc w:val="left"/>
              <w:rPr>
                <w:rFonts w:ascii="楷体_GB2312" w:eastAsia="楷体_GB2312"/>
                <w:b/>
                <w:bCs/>
              </w:rPr>
            </w:pPr>
          </w:p>
        </w:tc>
      </w:tr>
      <w:tr w:rsidR="00D17DE0" w14:paraId="48707B6C" w14:textId="77777777" w:rsidTr="00A964F3">
        <w:tc>
          <w:tcPr>
            <w:tcW w:w="10194" w:type="dxa"/>
          </w:tcPr>
          <w:tbl>
            <w:tblPr>
              <w:tblW w:w="0" w:type="auto"/>
              <w:tblCellMar>
                <w:left w:w="10" w:type="dxa"/>
                <w:right w:w="10" w:type="dxa"/>
              </w:tblCellMar>
              <w:tblLook w:val="04A0" w:firstRow="1" w:lastRow="0" w:firstColumn="1" w:lastColumn="0" w:noHBand="0" w:noVBand="1"/>
            </w:tblPr>
            <w:tblGrid>
              <w:gridCol w:w="10174"/>
            </w:tblGrid>
            <w:tr w:rsidR="001621E0" w:rsidRPr="00FF10EE" w14:paraId="75854CA8" w14:textId="77777777" w:rsidTr="008C5B41">
              <w:trPr>
                <w:trHeight w:hRule="exact" w:val="23"/>
              </w:trPr>
              <w:tc>
                <w:tcPr>
                  <w:tcW w:w="10174" w:type="dxa"/>
                </w:tcPr>
                <w:p w14:paraId="261E5A92" w14:textId="77777777" w:rsidR="001621E0" w:rsidRPr="00B25B0B" w:rsidRDefault="001621E0" w:rsidP="00407775">
                  <w:pPr>
                    <w:widowControl/>
                    <w:jc w:val="left"/>
                    <w:rPr>
                      <w:rFonts w:ascii="Times New Roman" w:eastAsia="楷体_GB2312" w:hAnsi="Times New Roman" w:cs="Times New Roman"/>
                      <w:b/>
                      <w:bCs/>
                    </w:rPr>
                  </w:pPr>
                  <w:r w:rsidRPr="00B25B0B">
                    <w:rPr>
                      <w:rFonts w:ascii="Times New Roman" w:eastAsia="楷体_GB2312" w:hAnsi="Times New Roman" w:cs="Times New Roman"/>
                      <w:b/>
                      <w:bCs/>
                      <w:color w:val="FFFFFF" w:themeColor="background1"/>
                    </w:rPr>
                    <w:t>[</w:t>
                  </w:r>
                  <w:proofErr w:type="spellStart"/>
                  <w:r w:rsidRPr="00B25B0B">
                    <w:rPr>
                      <w:rFonts w:ascii="Times New Roman" w:eastAsia="楷体_GB2312" w:hAnsi="Times New Roman" w:cs="Times New Roman"/>
                      <w:b/>
                      <w:bCs/>
                      <w:color w:val="FFFFFF" w:themeColor="background1"/>
                    </w:rPr>
                    <w:t>Table_StockRankInfo</w:t>
                  </w:r>
                  <w:proofErr w:type="spellEnd"/>
                  <w:r w:rsidRPr="00B25B0B">
                    <w:rPr>
                      <w:rFonts w:ascii="Times New Roman" w:eastAsia="楷体_GB2312" w:hAnsi="Times New Roman" w:cs="Times New Roman"/>
                      <w:b/>
                      <w:bCs/>
                      <w:color w:val="FFFFFF" w:themeColor="background1"/>
                    </w:rPr>
                    <w:t>]</w:t>
                  </w:r>
                </w:p>
              </w:tc>
            </w:tr>
            <w:tr w:rsidR="001621E0" w:rsidRPr="00FF10EE" w14:paraId="0FA715EF" w14:textId="77777777" w:rsidTr="00407775">
              <w:tc>
                <w:tcPr>
                  <w:tcW w:w="10174" w:type="dxa"/>
                </w:tcPr>
                <w:p w14:paraId="15DABD06" w14:textId="77777777" w:rsidR="001621E0" w:rsidRPr="00FF10EE" w:rsidRDefault="001621E0" w:rsidP="00407775">
                  <w:pPr>
                    <w:tabs>
                      <w:tab w:val="left" w:pos="720"/>
                    </w:tabs>
                    <w:autoSpaceDE w:val="0"/>
                    <w:autoSpaceDN w:val="0"/>
                    <w:adjustRightInd w:val="0"/>
                    <w:rPr>
                      <w:rFonts w:ascii="楷体_GB2312" w:eastAsia="楷体_GB2312" w:hAnsi="楷体"/>
                      <w:b/>
                      <w:sz w:val="24"/>
                    </w:rPr>
                  </w:pPr>
                  <w:r w:rsidRPr="00FF10EE">
                    <w:rPr>
                      <w:rFonts w:ascii="楷体_GB2312" w:eastAsia="楷体_GB2312" w:hAnsi="楷体" w:hint="eastAsia"/>
                      <w:b/>
                      <w:sz w:val="24"/>
                    </w:rPr>
                    <w:t>公司投资评级</w:t>
                  </w:r>
                </w:p>
                <w:p w14:paraId="0392498E"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买入：未来</w:t>
                  </w:r>
                  <w:r w:rsidRPr="00FF10EE">
                    <w:rPr>
                      <w:rFonts w:ascii="Times New Roman" w:eastAsia="楷体_GB2312" w:hAnsi="Times New Roman" w:cs="Times New Roman" w:hint="eastAsia"/>
                      <w:kern w:val="0"/>
                      <w:szCs w:val="32"/>
                      <w:lang w:val="zh-CN"/>
                    </w:rPr>
                    <w:t>6</w:t>
                  </w:r>
                  <w:r w:rsidRPr="00FF10EE">
                    <w:rPr>
                      <w:rFonts w:ascii="楷体_GB2312" w:eastAsia="楷体_GB2312" w:hAnsi="楷体" w:hint="eastAsia"/>
                      <w:kern w:val="0"/>
                      <w:szCs w:val="32"/>
                      <w:lang w:val="zh-CN"/>
                    </w:rPr>
                    <w:t>个月内公司相对大盘涨幅</w:t>
                  </w:r>
                  <w:r w:rsidRPr="00FF10EE">
                    <w:rPr>
                      <w:rFonts w:ascii="Times New Roman" w:eastAsia="楷体_GB2312" w:hAnsi="Times New Roman" w:cs="Times New Roman" w:hint="eastAsia"/>
                      <w:kern w:val="0"/>
                      <w:szCs w:val="32"/>
                      <w:lang w:val="zh-CN"/>
                    </w:rPr>
                    <w:t>15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以上；</w:t>
                  </w:r>
                </w:p>
                <w:p w14:paraId="1E1C6CCF"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增持：未来</w:t>
                  </w:r>
                  <w:r w:rsidRPr="00FF10EE">
                    <w:rPr>
                      <w:rFonts w:ascii="Times New Roman" w:eastAsia="楷体_GB2312" w:hAnsi="Times New Roman" w:cs="Times New Roman" w:hint="eastAsia"/>
                      <w:kern w:val="0"/>
                      <w:szCs w:val="32"/>
                      <w:lang w:val="zh-CN"/>
                    </w:rPr>
                    <w:t>6</w:t>
                  </w:r>
                  <w:r w:rsidRPr="00FF10EE">
                    <w:rPr>
                      <w:rFonts w:ascii="楷体_GB2312" w:eastAsia="楷体_GB2312" w:hAnsi="楷体" w:hint="eastAsia"/>
                      <w:kern w:val="0"/>
                      <w:szCs w:val="32"/>
                      <w:lang w:val="zh-CN"/>
                    </w:rPr>
                    <w:t>个月内公司相对大盘涨幅</w:t>
                  </w:r>
                  <w:r w:rsidRPr="00FF10EE">
                    <w:rPr>
                      <w:rFonts w:ascii="Times New Roman" w:eastAsia="楷体_GB2312" w:hAnsi="Times New Roman" w:cs="Times New Roman" w:hint="eastAsia"/>
                      <w:kern w:val="0"/>
                      <w:szCs w:val="32"/>
                      <w:lang w:val="zh-CN"/>
                    </w:rPr>
                    <w:t>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至</w:t>
                  </w:r>
                  <w:r w:rsidRPr="00FF10EE">
                    <w:rPr>
                      <w:rFonts w:ascii="Times New Roman" w:eastAsia="楷体_GB2312" w:hAnsi="Times New Roman" w:cs="Times New Roman" w:hint="eastAsia"/>
                      <w:kern w:val="0"/>
                      <w:szCs w:val="32"/>
                      <w:lang w:val="zh-CN"/>
                    </w:rPr>
                    <w:t>15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w:t>
                  </w:r>
                </w:p>
                <w:p w14:paraId="4386F8B9"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观望：未来</w:t>
                  </w:r>
                  <w:r w:rsidRPr="00FF10EE">
                    <w:rPr>
                      <w:rFonts w:ascii="Times New Roman" w:eastAsia="楷体_GB2312" w:hAnsi="Times New Roman" w:cs="Times New Roman" w:hint="eastAsia"/>
                      <w:kern w:val="0"/>
                      <w:szCs w:val="32"/>
                      <w:lang w:val="zh-CN"/>
                    </w:rPr>
                    <w:t>6</w:t>
                  </w:r>
                  <w:r w:rsidRPr="00FF10EE">
                    <w:rPr>
                      <w:rFonts w:ascii="楷体_GB2312" w:eastAsia="楷体_GB2312" w:hAnsi="楷体" w:hint="eastAsia"/>
                      <w:kern w:val="0"/>
                      <w:szCs w:val="32"/>
                      <w:lang w:val="zh-CN"/>
                    </w:rPr>
                    <w:t>个月内公司相对大盘涨幅</w:t>
                  </w:r>
                  <w:r w:rsidRPr="00FF10EE">
                    <w:rPr>
                      <w:rFonts w:ascii="Times New Roman" w:eastAsia="楷体_GB2312" w:hAnsi="Times New Roman" w:cs="Times New Roman" w:hint="eastAsia"/>
                      <w:kern w:val="0"/>
                      <w:szCs w:val="32"/>
                      <w:lang w:val="zh-CN"/>
                    </w:rPr>
                    <w:t>-5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至</w:t>
                  </w:r>
                  <w:r w:rsidRPr="00FF10EE">
                    <w:rPr>
                      <w:rFonts w:ascii="Times New Roman" w:eastAsia="楷体_GB2312" w:hAnsi="Times New Roman" w:cs="Times New Roman" w:hint="eastAsia"/>
                      <w:kern w:val="0"/>
                      <w:szCs w:val="32"/>
                      <w:lang w:val="zh-CN"/>
                    </w:rPr>
                    <w:t>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w:t>
                  </w:r>
                </w:p>
                <w:p w14:paraId="2C009B8A" w14:textId="77777777" w:rsidR="001621E0" w:rsidRPr="00FF10EE" w:rsidRDefault="001621E0" w:rsidP="00407775">
                  <w:pPr>
                    <w:tabs>
                      <w:tab w:val="left" w:pos="720"/>
                    </w:tabs>
                    <w:autoSpaceDE w:val="0"/>
                    <w:autoSpaceDN w:val="0"/>
                    <w:adjustRightInd w:val="0"/>
                    <w:jc w:val="left"/>
                    <w:rPr>
                      <w:rFonts w:ascii="楷体_GB2312" w:eastAsia="楷体_GB2312" w:hAnsi="楷体"/>
                      <w:kern w:val="0"/>
                      <w:szCs w:val="32"/>
                      <w:lang w:val="zh-CN"/>
                    </w:rPr>
                  </w:pPr>
                  <w:r w:rsidRPr="00FF10EE">
                    <w:rPr>
                      <w:rFonts w:ascii="楷体_GB2312" w:eastAsia="楷体_GB2312" w:hAnsi="楷体" w:hint="eastAsia"/>
                      <w:kern w:val="0"/>
                      <w:szCs w:val="32"/>
                      <w:lang w:val="zh-CN"/>
                    </w:rPr>
                    <w:t>卖出：未来</w:t>
                  </w:r>
                  <w:r w:rsidRPr="00FF10EE">
                    <w:rPr>
                      <w:rFonts w:ascii="Times New Roman" w:eastAsia="楷体_GB2312" w:hAnsi="Times New Roman" w:cs="Times New Roman" w:hint="eastAsia"/>
                      <w:kern w:val="0"/>
                      <w:szCs w:val="32"/>
                      <w:lang w:val="zh-CN"/>
                    </w:rPr>
                    <w:t>6</w:t>
                  </w:r>
                  <w:r w:rsidRPr="00FF10EE">
                    <w:rPr>
                      <w:rFonts w:ascii="楷体_GB2312" w:eastAsia="楷体_GB2312" w:hAnsi="楷体" w:hint="eastAsia"/>
                      <w:kern w:val="0"/>
                      <w:szCs w:val="32"/>
                      <w:lang w:val="zh-CN"/>
                    </w:rPr>
                    <w:t>个月内公司相对大盘跌幅</w:t>
                  </w:r>
                  <w:r w:rsidRPr="00FF10EE">
                    <w:rPr>
                      <w:rFonts w:ascii="Times New Roman" w:eastAsia="楷体_GB2312" w:hAnsi="Times New Roman" w:cs="Times New Roman" w:hint="eastAsia"/>
                      <w:kern w:val="0"/>
                      <w:szCs w:val="32"/>
                      <w:lang w:val="zh-CN"/>
                    </w:rPr>
                    <w:t>5</w:t>
                  </w:r>
                  <w:r w:rsidRPr="00FF10EE">
                    <w:rPr>
                      <w:rFonts w:ascii="Times New Roman" w:eastAsia="楷体_GB2312" w:hAnsi="Times New Roman" w:cs="Times New Roman" w:hint="eastAsia"/>
                      <w:kern w:val="0"/>
                      <w:szCs w:val="32"/>
                      <w:lang w:val="zh-CN"/>
                    </w:rPr>
                    <w:t>％</w:t>
                  </w:r>
                  <w:r w:rsidRPr="00FF10EE">
                    <w:rPr>
                      <w:rFonts w:ascii="楷体_GB2312" w:eastAsia="楷体_GB2312" w:hAnsi="楷体" w:hint="eastAsia"/>
                      <w:kern w:val="0"/>
                      <w:szCs w:val="32"/>
                      <w:lang w:val="zh-CN"/>
                    </w:rPr>
                    <w:t>以上。</w:t>
                  </w:r>
                </w:p>
                <w:p w14:paraId="2E5BB7CE" w14:textId="77777777" w:rsidR="001621E0" w:rsidRPr="00FF10EE" w:rsidRDefault="001621E0" w:rsidP="00407775">
                  <w:pPr>
                    <w:tabs>
                      <w:tab w:val="left" w:pos="720"/>
                    </w:tabs>
                    <w:autoSpaceDE w:val="0"/>
                    <w:autoSpaceDN w:val="0"/>
                    <w:adjustRightInd w:val="0"/>
                    <w:jc w:val="left"/>
                    <w:rPr>
                      <w:rFonts w:ascii="楷体_GB2312" w:eastAsia="楷体_GB2312" w:hAnsi="楷体"/>
                    </w:rPr>
                  </w:pPr>
                  <w:r w:rsidRPr="00FF10EE">
                    <w:rPr>
                      <w:rFonts w:ascii="楷体_GB2312" w:eastAsia="楷体_GB2312" w:hAnsi="楷体" w:hint="eastAsia"/>
                    </w:rPr>
                    <w:t>基准指数 ：沪深</w:t>
                  </w:r>
                  <w:r w:rsidRPr="00FF10EE">
                    <w:rPr>
                      <w:rFonts w:ascii="Times New Roman" w:eastAsia="楷体_GB2312" w:hAnsi="Times New Roman" w:cs="Times New Roman" w:hint="eastAsia"/>
                      <w:kern w:val="0"/>
                      <w:szCs w:val="32"/>
                      <w:lang w:val="zh-CN"/>
                    </w:rPr>
                    <w:t>300</w:t>
                  </w:r>
                  <w:r w:rsidRPr="00FF10EE">
                    <w:rPr>
                      <w:rFonts w:ascii="楷体_GB2312" w:eastAsia="楷体_GB2312" w:hAnsi="楷体" w:hint="eastAsia"/>
                    </w:rPr>
                    <w:t>指数</w:t>
                  </w:r>
                </w:p>
              </w:tc>
            </w:tr>
          </w:tbl>
          <w:p w14:paraId="715E4456" w14:textId="77777777" w:rsidR="00D17DE0" w:rsidRPr="00FF10EE" w:rsidRDefault="00D17DE0" w:rsidP="001621E0">
            <w:pPr>
              <w:widowControl/>
              <w:spacing w:line="20" w:lineRule="exact"/>
              <w:jc w:val="left"/>
              <w:rPr>
                <w:rFonts w:ascii="楷体_GB2312" w:eastAsia="楷体_GB2312"/>
                <w:b/>
                <w:bCs/>
              </w:rPr>
            </w:pPr>
          </w:p>
        </w:tc>
      </w:tr>
      <w:tr w:rsidR="00D17DE0" w14:paraId="733CCC24" w14:textId="77777777" w:rsidTr="00A964F3">
        <w:tc>
          <w:tcPr>
            <w:tcW w:w="10194" w:type="dxa"/>
          </w:tcPr>
          <w:p w14:paraId="1E3BB288" w14:textId="77777777" w:rsidR="00D17DE0" w:rsidRPr="00FF10EE" w:rsidRDefault="00D17DE0" w:rsidP="00A964F3">
            <w:pPr>
              <w:widowControl/>
              <w:jc w:val="left"/>
              <w:rPr>
                <w:rFonts w:ascii="楷体_GB2312" w:eastAsia="楷体_GB2312"/>
                <w:b/>
                <w:bCs/>
              </w:rPr>
            </w:pPr>
          </w:p>
        </w:tc>
      </w:tr>
      <w:tr w:rsidR="00D17DE0" w14:paraId="64B13D9C" w14:textId="77777777" w:rsidTr="00D84F3A">
        <w:tc>
          <w:tcPr>
            <w:tcW w:w="10194" w:type="dxa"/>
            <w:tcBorders>
              <w:bottom w:val="nil"/>
            </w:tcBorders>
          </w:tcPr>
          <w:tbl>
            <w:tblPr>
              <w:tblW w:w="0" w:type="auto"/>
              <w:tblCellMar>
                <w:left w:w="10" w:type="dxa"/>
                <w:right w:w="10" w:type="dxa"/>
              </w:tblCellMar>
              <w:tblLook w:val="04A0" w:firstRow="1" w:lastRow="0" w:firstColumn="1" w:lastColumn="0" w:noHBand="0" w:noVBand="1"/>
            </w:tblPr>
            <w:tblGrid>
              <w:gridCol w:w="10174"/>
            </w:tblGrid>
            <w:tr w:rsidR="001621E0" w:rsidRPr="00FF10EE" w14:paraId="3ED8A572" w14:textId="77777777" w:rsidTr="00407775">
              <w:trPr>
                <w:cantSplit/>
                <w:trHeight w:hRule="exact" w:val="23"/>
              </w:trPr>
              <w:tc>
                <w:tcPr>
                  <w:tcW w:w="10174" w:type="dxa"/>
                </w:tcPr>
                <w:p w14:paraId="4E9ED831" w14:textId="77777777" w:rsidR="001621E0" w:rsidRPr="00B25B0B" w:rsidRDefault="001621E0" w:rsidP="00407775">
                  <w:pPr>
                    <w:widowControl/>
                    <w:jc w:val="left"/>
                    <w:rPr>
                      <w:rFonts w:ascii="Times New Roman" w:eastAsia="楷体_GB2312" w:hAnsi="Times New Roman" w:cs="Times New Roman"/>
                      <w:b/>
                      <w:bCs/>
                    </w:rPr>
                  </w:pPr>
                  <w:r w:rsidRPr="00B25B0B">
                    <w:rPr>
                      <w:rFonts w:ascii="Times New Roman" w:eastAsia="楷体_GB2312" w:hAnsi="Times New Roman" w:cs="Times New Roman"/>
                      <w:b/>
                      <w:bCs/>
                      <w:color w:val="FFFFFF" w:themeColor="background1"/>
                    </w:rPr>
                    <w:t>[</w:t>
                  </w:r>
                  <w:proofErr w:type="spellStart"/>
                  <w:r w:rsidRPr="00B25B0B">
                    <w:rPr>
                      <w:rFonts w:ascii="Times New Roman" w:eastAsia="楷体_GB2312" w:hAnsi="Times New Roman" w:cs="Times New Roman"/>
                      <w:b/>
                      <w:bCs/>
                      <w:color w:val="FFFFFF" w:themeColor="background1"/>
                    </w:rPr>
                    <w:t>Table_RiskInfo</w:t>
                  </w:r>
                  <w:proofErr w:type="spellEnd"/>
                  <w:r w:rsidRPr="00B25B0B">
                    <w:rPr>
                      <w:rFonts w:ascii="Times New Roman" w:eastAsia="楷体_GB2312" w:hAnsi="Times New Roman" w:cs="Times New Roman"/>
                      <w:b/>
                      <w:bCs/>
                      <w:color w:val="FFFFFF" w:themeColor="background1"/>
                    </w:rPr>
                    <w:t>]</w:t>
                  </w:r>
                </w:p>
              </w:tc>
            </w:tr>
            <w:tr w:rsidR="001621E0" w:rsidRPr="00FF10EE" w14:paraId="1E6B2073" w14:textId="77777777" w:rsidTr="00407775">
              <w:trPr>
                <w:cantSplit/>
              </w:trPr>
              <w:tc>
                <w:tcPr>
                  <w:tcW w:w="10174" w:type="dxa"/>
                </w:tcPr>
                <w:p w14:paraId="184FD17F" w14:textId="77777777" w:rsidR="001621E0" w:rsidRPr="00FF10EE" w:rsidRDefault="001621E0" w:rsidP="00407775">
                  <w:pPr>
                    <w:tabs>
                      <w:tab w:val="left" w:pos="720"/>
                    </w:tabs>
                    <w:autoSpaceDE w:val="0"/>
                    <w:autoSpaceDN w:val="0"/>
                    <w:adjustRightInd w:val="0"/>
                    <w:jc w:val="left"/>
                    <w:rPr>
                      <w:rFonts w:ascii="楷体_GB2312" w:eastAsia="楷体_GB2312" w:hAnsi="楷体"/>
                      <w:b/>
                      <w:sz w:val="24"/>
                    </w:rPr>
                  </w:pPr>
                  <w:r w:rsidRPr="00FF10EE">
                    <w:rPr>
                      <w:rFonts w:ascii="楷体_GB2312" w:eastAsia="楷体_GB2312" w:hAnsi="楷体" w:hint="eastAsia"/>
                      <w:b/>
                      <w:sz w:val="24"/>
                    </w:rPr>
                    <w:t>风险提示</w:t>
                  </w:r>
                </w:p>
                <w:p w14:paraId="4924A8C3" w14:textId="77777777" w:rsidR="001621E0" w:rsidRPr="00FF10EE" w:rsidRDefault="001621E0" w:rsidP="00407775">
                  <w:pPr>
                    <w:tabs>
                      <w:tab w:val="left" w:pos="720"/>
                    </w:tabs>
                    <w:autoSpaceDE w:val="0"/>
                    <w:autoSpaceDN w:val="0"/>
                    <w:adjustRightInd w:val="0"/>
                    <w:jc w:val="left"/>
                    <w:rPr>
                      <w:rFonts w:ascii="楷体_GB2312" w:eastAsia="楷体_GB2312" w:hAnsi="楷体"/>
                    </w:rPr>
                  </w:pPr>
                  <w:r w:rsidRPr="00FF10EE">
                    <w:rPr>
                      <w:rFonts w:ascii="楷体_GB2312" w:eastAsia="楷体_GB2312" w:hAnsi="楷体" w:hint="eastAsia"/>
                    </w:rPr>
                    <w:t>我们在此提醒您，不同证券研究机构采用不同的评级术语及评级标准。我们采用的是相对评级体系，表示投资的相对比重建议；投资者买入或者卖出证券的决定取决于个人的实际情况，比如当前的持仓结构以及其他需要考虑的因素。投资者应阅读整篇报告，以获取比较完整的观点与信息，不应仅仅依靠投资评级来推断结论。</w:t>
                  </w:r>
                </w:p>
              </w:tc>
            </w:tr>
          </w:tbl>
          <w:p w14:paraId="2E894F3A" w14:textId="77777777" w:rsidR="00D17DE0" w:rsidRPr="00DB7E2E" w:rsidRDefault="00D17DE0" w:rsidP="001621E0">
            <w:pPr>
              <w:widowControl/>
              <w:spacing w:line="20" w:lineRule="exact"/>
              <w:jc w:val="left"/>
              <w:rPr>
                <w:rFonts w:ascii="楷体_GB2312" w:eastAsia="楷体_GB2312"/>
                <w:b/>
                <w:bCs/>
              </w:rPr>
            </w:pPr>
          </w:p>
        </w:tc>
      </w:tr>
      <w:tr w:rsidR="00D17DE0" w14:paraId="44708641" w14:textId="77777777" w:rsidTr="00D84F3A">
        <w:trPr>
          <w:trHeight w:hRule="exact" w:val="113"/>
        </w:trPr>
        <w:tc>
          <w:tcPr>
            <w:tcW w:w="10194" w:type="dxa"/>
            <w:tcBorders>
              <w:bottom w:val="single" w:sz="18" w:space="0" w:color="B4302B"/>
            </w:tcBorders>
          </w:tcPr>
          <w:p w14:paraId="7E9565D5" w14:textId="77777777" w:rsidR="00D17DE0" w:rsidRPr="00FF10EE" w:rsidRDefault="00D17DE0" w:rsidP="00A964F3">
            <w:pPr>
              <w:widowControl/>
              <w:jc w:val="left"/>
              <w:rPr>
                <w:rFonts w:ascii="楷体_GB2312" w:eastAsia="楷体_GB2312"/>
                <w:b/>
                <w:bCs/>
              </w:rPr>
            </w:pPr>
          </w:p>
        </w:tc>
      </w:tr>
      <w:tr w:rsidR="00D17DE0" w14:paraId="14101B51" w14:textId="77777777" w:rsidTr="00D84F3A">
        <w:trPr>
          <w:trHeight w:hRule="exact" w:val="113"/>
        </w:trPr>
        <w:tc>
          <w:tcPr>
            <w:tcW w:w="10194" w:type="dxa"/>
            <w:tcBorders>
              <w:top w:val="single" w:sz="18" w:space="0" w:color="B4302B"/>
            </w:tcBorders>
          </w:tcPr>
          <w:p w14:paraId="2BDB386B" w14:textId="77777777" w:rsidR="00D17DE0" w:rsidRPr="00FF10EE" w:rsidRDefault="00D17DE0" w:rsidP="00A964F3">
            <w:pPr>
              <w:widowControl/>
              <w:jc w:val="left"/>
              <w:rPr>
                <w:rFonts w:ascii="楷体_GB2312" w:eastAsia="楷体_GB2312"/>
                <w:b/>
                <w:bCs/>
              </w:rPr>
            </w:pPr>
          </w:p>
        </w:tc>
      </w:tr>
      <w:tr w:rsidR="00D17DE0" w14:paraId="493994EE" w14:textId="77777777" w:rsidTr="00A964F3">
        <w:tc>
          <w:tcPr>
            <w:tcW w:w="10194" w:type="dxa"/>
          </w:tcPr>
          <w:tbl>
            <w:tblPr>
              <w:tblW w:w="0" w:type="auto"/>
              <w:tblInd w:w="10" w:type="dxa"/>
              <w:tblCellMar>
                <w:left w:w="10" w:type="dxa"/>
                <w:right w:w="10" w:type="dxa"/>
              </w:tblCellMar>
              <w:tblLook w:val="04A0" w:firstRow="1" w:lastRow="0" w:firstColumn="1" w:lastColumn="0" w:noHBand="0" w:noVBand="1"/>
            </w:tblPr>
            <w:tblGrid>
              <w:gridCol w:w="10174"/>
            </w:tblGrid>
            <w:tr w:rsidR="001621E0" w:rsidRPr="00FF10EE" w14:paraId="0BBCBCB8" w14:textId="77777777" w:rsidTr="00070F16">
              <w:trPr>
                <w:cantSplit/>
                <w:trHeight w:hRule="exact" w:val="23"/>
              </w:trPr>
              <w:tc>
                <w:tcPr>
                  <w:tcW w:w="10174" w:type="dxa"/>
                </w:tcPr>
                <w:p w14:paraId="3370DC35" w14:textId="77777777" w:rsidR="001621E0" w:rsidRPr="002105ED" w:rsidRDefault="001621E0" w:rsidP="00407775">
                  <w:pPr>
                    <w:widowControl/>
                    <w:jc w:val="left"/>
                    <w:rPr>
                      <w:rFonts w:ascii="Times New Roman" w:eastAsia="楷体_GB2312" w:hAnsi="Times New Roman" w:cs="Times New Roman"/>
                      <w:b/>
                      <w:bCs/>
                    </w:rPr>
                  </w:pPr>
                  <w:r w:rsidRPr="002105ED">
                    <w:rPr>
                      <w:rFonts w:ascii="Times New Roman" w:eastAsia="楷体_GB2312" w:hAnsi="Times New Roman" w:cs="Times New Roman"/>
                      <w:b/>
                      <w:bCs/>
                      <w:color w:val="FFFFFF" w:themeColor="background1"/>
                    </w:rPr>
                    <w:t>[</w:t>
                  </w:r>
                  <w:proofErr w:type="spellStart"/>
                  <w:r w:rsidRPr="002105ED">
                    <w:rPr>
                      <w:rFonts w:ascii="Times New Roman" w:eastAsia="楷体_GB2312" w:hAnsi="Times New Roman" w:cs="Times New Roman"/>
                      <w:b/>
                      <w:bCs/>
                      <w:color w:val="FFFFFF" w:themeColor="background1"/>
                    </w:rPr>
                    <w:t>Table_PromiseInfo</w:t>
                  </w:r>
                  <w:proofErr w:type="spellEnd"/>
                  <w:r w:rsidRPr="002105ED">
                    <w:rPr>
                      <w:rFonts w:ascii="Times New Roman" w:eastAsia="楷体_GB2312" w:hAnsi="Times New Roman" w:cs="Times New Roman"/>
                      <w:b/>
                      <w:bCs/>
                      <w:color w:val="FFFFFF" w:themeColor="background1"/>
                    </w:rPr>
                    <w:t>]</w:t>
                  </w:r>
                </w:p>
              </w:tc>
            </w:tr>
            <w:tr w:rsidR="001621E0" w:rsidRPr="00FF10EE" w14:paraId="452884D0" w14:textId="77777777" w:rsidTr="00407775">
              <w:trPr>
                <w:cantSplit/>
              </w:trPr>
              <w:tc>
                <w:tcPr>
                  <w:tcW w:w="10174" w:type="dxa"/>
                </w:tcPr>
                <w:p w14:paraId="62A092B1" w14:textId="77777777" w:rsidR="001621E0" w:rsidRPr="00FF10EE" w:rsidRDefault="001621E0" w:rsidP="00407775">
                  <w:pPr>
                    <w:widowControl/>
                    <w:jc w:val="left"/>
                    <w:rPr>
                      <w:rFonts w:ascii="楷体_GB2312" w:eastAsia="楷体_GB2312" w:hAnsi="楷体"/>
                      <w:b/>
                      <w:sz w:val="24"/>
                    </w:rPr>
                  </w:pPr>
                  <w:r w:rsidRPr="00FF10EE">
                    <w:rPr>
                      <w:rFonts w:ascii="楷体_GB2312" w:eastAsia="楷体_GB2312" w:hAnsi="楷体" w:hint="eastAsia"/>
                      <w:b/>
                      <w:sz w:val="24"/>
                    </w:rPr>
                    <w:t>证券分析师承诺</w:t>
                  </w:r>
                </w:p>
              </w:tc>
            </w:tr>
            <w:tr w:rsidR="001621E0" w:rsidRPr="00FF10EE" w14:paraId="37B3B837" w14:textId="77777777" w:rsidTr="00407775">
              <w:trPr>
                <w:cantSplit/>
              </w:trPr>
              <w:tc>
                <w:tcPr>
                  <w:tcW w:w="10174" w:type="dxa"/>
                </w:tcPr>
                <w:p w14:paraId="3E7C0AB6" w14:textId="77777777" w:rsidR="001621E0" w:rsidRPr="00FF10EE" w:rsidRDefault="001621E0" w:rsidP="00407775">
                  <w:pPr>
                    <w:widowControl/>
                    <w:jc w:val="left"/>
                    <w:rPr>
                      <w:rFonts w:ascii="楷体_GB2312" w:eastAsia="楷体_GB2312" w:hAnsi="楷体"/>
                      <w:b/>
                      <w:sz w:val="24"/>
                    </w:rPr>
                  </w:pPr>
                  <w:r w:rsidRPr="00FF10EE">
                    <w:rPr>
                      <w:rFonts w:ascii="楷体_GB2312" w:eastAsia="楷体_GB2312" w:hAnsi="楷体" w:hint="eastAsia"/>
                    </w:rPr>
                    <w:t>本人具有中国证券业协会授予的证券投资咨询执业资格并登记为证券分析师，以勤勉的执业态度，独立、客观地出具本报告。本报告清晰准确地反映了本人的研究观点。本人不曾因，不因，也将不会因本报告中的具体推荐意见或观点而直接或间接收到任何形式的补偿。</w:t>
                  </w:r>
                </w:p>
              </w:tc>
            </w:tr>
          </w:tbl>
          <w:p w14:paraId="1950BB99" w14:textId="77777777" w:rsidR="00D17DE0" w:rsidRPr="00DB7E2E" w:rsidRDefault="00D17DE0" w:rsidP="001621E0">
            <w:pPr>
              <w:widowControl/>
              <w:snapToGrid w:val="0"/>
              <w:spacing w:line="20" w:lineRule="exact"/>
              <w:jc w:val="left"/>
              <w:rPr>
                <w:rFonts w:ascii="楷体_GB2312" w:eastAsia="楷体_GB2312"/>
                <w:b/>
                <w:bCs/>
              </w:rPr>
            </w:pPr>
          </w:p>
        </w:tc>
      </w:tr>
      <w:tr w:rsidR="00D17DE0" w14:paraId="19739E8C" w14:textId="77777777" w:rsidTr="00A964F3">
        <w:tc>
          <w:tcPr>
            <w:tcW w:w="10194" w:type="dxa"/>
          </w:tcPr>
          <w:p w14:paraId="411338B7" w14:textId="77777777" w:rsidR="00D17DE0" w:rsidRPr="00FF10EE" w:rsidRDefault="00D17DE0" w:rsidP="00A964F3">
            <w:pPr>
              <w:widowControl/>
              <w:jc w:val="left"/>
              <w:rPr>
                <w:rFonts w:ascii="楷体_GB2312" w:eastAsia="楷体_GB2312"/>
                <w:b/>
                <w:bCs/>
              </w:rPr>
            </w:pPr>
          </w:p>
        </w:tc>
      </w:tr>
      <w:tr w:rsidR="00D17DE0" w14:paraId="595745B7" w14:textId="77777777" w:rsidTr="00A964F3">
        <w:tc>
          <w:tcPr>
            <w:tcW w:w="10194" w:type="dxa"/>
          </w:tcPr>
          <w:tbl>
            <w:tblPr>
              <w:tblW w:w="0" w:type="auto"/>
              <w:tblInd w:w="10" w:type="dxa"/>
              <w:tblCellMar>
                <w:left w:w="10" w:type="dxa"/>
                <w:right w:w="10" w:type="dxa"/>
              </w:tblCellMar>
              <w:tblLook w:val="04A0" w:firstRow="1" w:lastRow="0" w:firstColumn="1" w:lastColumn="0" w:noHBand="0" w:noVBand="1"/>
            </w:tblPr>
            <w:tblGrid>
              <w:gridCol w:w="10174"/>
            </w:tblGrid>
            <w:tr w:rsidR="001621E0" w:rsidRPr="00FF10EE" w14:paraId="3AE11466" w14:textId="77777777" w:rsidTr="00991DDE">
              <w:trPr>
                <w:cantSplit/>
                <w:trHeight w:hRule="exact" w:val="23"/>
              </w:trPr>
              <w:tc>
                <w:tcPr>
                  <w:tcW w:w="10174" w:type="dxa"/>
                </w:tcPr>
                <w:p w14:paraId="40B6AB94" w14:textId="77777777" w:rsidR="001621E0" w:rsidRPr="002105ED" w:rsidRDefault="001621E0" w:rsidP="00407775">
                  <w:pPr>
                    <w:widowControl/>
                    <w:jc w:val="left"/>
                    <w:rPr>
                      <w:rFonts w:ascii="Times New Roman" w:eastAsia="楷体_GB2312" w:hAnsi="Times New Roman" w:cs="Times New Roman"/>
                      <w:b/>
                      <w:bCs/>
                    </w:rPr>
                  </w:pPr>
                  <w:r w:rsidRPr="002105ED">
                    <w:rPr>
                      <w:rFonts w:ascii="Times New Roman" w:eastAsia="楷体_GB2312" w:hAnsi="Times New Roman" w:cs="Times New Roman"/>
                      <w:b/>
                      <w:bCs/>
                      <w:color w:val="FFFFFF" w:themeColor="background1"/>
                    </w:rPr>
                    <w:t>[</w:t>
                  </w:r>
                  <w:proofErr w:type="spellStart"/>
                  <w:r w:rsidRPr="002105ED">
                    <w:rPr>
                      <w:rFonts w:ascii="Times New Roman" w:eastAsia="楷体_GB2312" w:hAnsi="Times New Roman" w:cs="Times New Roman"/>
                      <w:b/>
                      <w:bCs/>
                      <w:color w:val="FFFFFF" w:themeColor="background1"/>
                    </w:rPr>
                    <w:t>Tale_ReliefInfo</w:t>
                  </w:r>
                  <w:proofErr w:type="spellEnd"/>
                  <w:r w:rsidRPr="002105ED">
                    <w:rPr>
                      <w:rFonts w:ascii="Times New Roman" w:eastAsia="楷体_GB2312" w:hAnsi="Times New Roman" w:cs="Times New Roman"/>
                      <w:b/>
                      <w:bCs/>
                      <w:color w:val="FFFFFF" w:themeColor="background1"/>
                    </w:rPr>
                    <w:t>]</w:t>
                  </w:r>
                </w:p>
              </w:tc>
            </w:tr>
            <w:tr w:rsidR="001621E0" w:rsidRPr="00FF10EE" w14:paraId="71EAC824" w14:textId="77777777" w:rsidTr="00407775">
              <w:trPr>
                <w:cantSplit/>
              </w:trPr>
              <w:tc>
                <w:tcPr>
                  <w:tcW w:w="10174" w:type="dxa"/>
                </w:tcPr>
                <w:p w14:paraId="67D85968" w14:textId="77777777" w:rsidR="001621E0" w:rsidRPr="00FF10EE" w:rsidRDefault="001621E0" w:rsidP="00407775">
                  <w:pPr>
                    <w:tabs>
                      <w:tab w:val="left" w:pos="720"/>
                    </w:tabs>
                    <w:autoSpaceDE w:val="0"/>
                    <w:autoSpaceDN w:val="0"/>
                    <w:adjustRightInd w:val="0"/>
                    <w:jc w:val="left"/>
                    <w:rPr>
                      <w:rFonts w:ascii="楷体_GB2312" w:eastAsia="楷体_GB2312" w:hAnsi="楷体"/>
                      <w:b/>
                      <w:sz w:val="24"/>
                    </w:rPr>
                  </w:pPr>
                  <w:r w:rsidRPr="00FF10EE">
                    <w:rPr>
                      <w:rFonts w:ascii="楷体_GB2312" w:eastAsia="楷体_GB2312" w:hAnsi="楷体" w:hint="eastAsia"/>
                      <w:b/>
                      <w:sz w:val="24"/>
                    </w:rPr>
                    <w:t>免责条款</w:t>
                  </w:r>
                </w:p>
              </w:tc>
            </w:tr>
            <w:tr w:rsidR="001621E0" w:rsidRPr="00FF10EE" w14:paraId="0D3D5903" w14:textId="77777777" w:rsidTr="00407775">
              <w:trPr>
                <w:cantSplit/>
              </w:trPr>
              <w:tc>
                <w:tcPr>
                  <w:tcW w:w="10174" w:type="dxa"/>
                </w:tcPr>
                <w:p w14:paraId="570CF35B" w14:textId="77777777" w:rsidR="001621E0" w:rsidRPr="00451064" w:rsidRDefault="001621E0" w:rsidP="00451064">
                  <w:pPr>
                    <w:widowControl/>
                    <w:jc w:val="left"/>
                    <w:rPr>
                      <w:rFonts w:ascii="楷体_GB2312" w:eastAsia="楷体_GB2312" w:hAnsi="楷体"/>
                      <w:kern w:val="0"/>
                      <w:lang w:val="zh-CN"/>
                    </w:rPr>
                  </w:pPr>
                  <w:r w:rsidRPr="00451064">
                    <w:rPr>
                      <w:rFonts w:ascii="楷体_GB2312" w:eastAsia="楷体_GB2312" w:hAnsi="楷体" w:hint="eastAsia"/>
                      <w:kern w:val="0"/>
                      <w:lang w:val="zh-CN"/>
                    </w:rPr>
                    <w:t>万联证券股份有限公司（以下简称“本公司”）是一家覆盖证券经纪、投资银行、投资管理和证券咨询等多项业务的全国性综合类证券公司。本公司具有中国证监会许可的证券投资咨询业务资格。</w:t>
                  </w:r>
                </w:p>
                <w:p w14:paraId="26E0C1A7" w14:textId="77777777" w:rsidR="001621E0" w:rsidRPr="00451064" w:rsidRDefault="001621E0" w:rsidP="00451064">
                  <w:pPr>
                    <w:widowControl/>
                    <w:jc w:val="left"/>
                    <w:rPr>
                      <w:rFonts w:ascii="楷体_GB2312" w:eastAsia="楷体_GB2312" w:hAnsi="楷体"/>
                      <w:kern w:val="0"/>
                      <w:lang w:val="zh-CN"/>
                    </w:rPr>
                  </w:pPr>
                  <w:r w:rsidRPr="00451064">
                    <w:rPr>
                      <w:rFonts w:ascii="楷体_GB2312" w:eastAsia="楷体_GB2312" w:hAnsi="楷体" w:hint="eastAsia"/>
                      <w:kern w:val="0"/>
                      <w:lang w:val="zh-CN"/>
                    </w:rPr>
                    <w:t>本报告仅供本公司的客户使用。本公司不会因接收人收到本报告而视其为客户。在任何情况下，本报告中的信息或所表述的意见并不构成对任何人的投资建议。本报告中的信息或所表述的意见并未考虑到个别投资者的具体投资目的、财务状况以及特定需求。客户应自主</w:t>
                  </w:r>
                  <w:proofErr w:type="gramStart"/>
                  <w:r w:rsidRPr="00451064">
                    <w:rPr>
                      <w:rFonts w:ascii="楷体_GB2312" w:eastAsia="楷体_GB2312" w:hAnsi="楷体" w:hint="eastAsia"/>
                      <w:kern w:val="0"/>
                      <w:lang w:val="zh-CN"/>
                    </w:rPr>
                    <w:t>作出</w:t>
                  </w:r>
                  <w:proofErr w:type="gramEnd"/>
                  <w:r w:rsidRPr="00451064">
                    <w:rPr>
                      <w:rFonts w:ascii="楷体_GB2312" w:eastAsia="楷体_GB2312" w:hAnsi="楷体" w:hint="eastAsia"/>
                      <w:kern w:val="0"/>
                      <w:lang w:val="zh-CN"/>
                    </w:rPr>
                    <w:t>投资决策并自行承担投资风险。本公司不对任何人因使用本报告中的内容所导致的损失负任何责任。在法律许可情况下，本公司或其关联机构可能会持有报告中提到的公司所发行的证券头寸并进行交易，还可能为这些公司提供或争取提供投资银行、财务顾问或类似的金融服务。</w:t>
                  </w:r>
                </w:p>
                <w:p w14:paraId="1771E41C" w14:textId="77777777" w:rsidR="001621E0" w:rsidRPr="00451064" w:rsidRDefault="001621E0" w:rsidP="00451064">
                  <w:pPr>
                    <w:widowControl/>
                    <w:jc w:val="left"/>
                    <w:rPr>
                      <w:rFonts w:ascii="楷体_GB2312" w:eastAsia="楷体_GB2312" w:hAnsi="楷体"/>
                      <w:kern w:val="0"/>
                      <w:lang w:val="zh-CN"/>
                    </w:rPr>
                  </w:pPr>
                  <w:r w:rsidRPr="00451064">
                    <w:rPr>
                      <w:rFonts w:ascii="楷体_GB2312" w:eastAsia="楷体_GB2312" w:hAnsi="楷体" w:hint="eastAsia"/>
                      <w:kern w:val="0"/>
                      <w:lang w:val="zh-CN"/>
                    </w:rPr>
                    <w:t>市场有风险，投资需谨慎。本报告是基于本公司认为可靠且已公开的信息撰写，本公司力求但不保证这些信息的准确性及完整性，也不保证文中的观点或陈述不会发生任何变更。在不同时期，本公司可发出与本报告所载资料、意见及推测不一致的报告。分析</w:t>
                  </w:r>
                  <w:proofErr w:type="gramStart"/>
                  <w:r w:rsidRPr="00451064">
                    <w:rPr>
                      <w:rFonts w:ascii="楷体_GB2312" w:eastAsia="楷体_GB2312" w:hAnsi="楷体" w:hint="eastAsia"/>
                      <w:kern w:val="0"/>
                      <w:lang w:val="zh-CN"/>
                    </w:rPr>
                    <w:t>师任何</w:t>
                  </w:r>
                  <w:proofErr w:type="gramEnd"/>
                  <w:r w:rsidRPr="00451064">
                    <w:rPr>
                      <w:rFonts w:ascii="楷体_GB2312" w:eastAsia="楷体_GB2312" w:hAnsi="楷体" w:hint="eastAsia"/>
                      <w:kern w:val="0"/>
                      <w:lang w:val="zh-CN"/>
                    </w:rPr>
                    <w:t>形式的分享证券投资收益或者分担证券投资损失的书面或口头承诺均为无效。</w:t>
                  </w:r>
                </w:p>
                <w:p w14:paraId="0748C1BE" w14:textId="77777777" w:rsidR="001621E0" w:rsidRPr="00FF10EE" w:rsidRDefault="001621E0" w:rsidP="00451064">
                  <w:pPr>
                    <w:widowControl/>
                    <w:jc w:val="left"/>
                    <w:rPr>
                      <w:rFonts w:ascii="楷体_GB2312" w:eastAsia="楷体_GB2312" w:hAnsi="楷体"/>
                      <w:kern w:val="0"/>
                      <w:lang w:val="zh-CN"/>
                    </w:rPr>
                  </w:pPr>
                  <w:r w:rsidRPr="00451064">
                    <w:rPr>
                      <w:rFonts w:ascii="楷体_GB2312" w:eastAsia="楷体_GB2312" w:hAnsi="楷体" w:hint="eastAsia"/>
                      <w:kern w:val="0"/>
                      <w:lang w:val="zh-CN"/>
                    </w:rPr>
                    <w:t>本报告的版权仅为本公司所有，未经书面许可任何机构和个人不得以任何形式翻版、复制、刊登、发表和引用。未经我方许可而引用、刊发或转载的引起法律后果和造成我公司经济损失的概由对方承担，我公司保留追究的权利。</w:t>
                  </w:r>
                </w:p>
              </w:tc>
            </w:tr>
          </w:tbl>
          <w:p w14:paraId="5FA85F27" w14:textId="77777777" w:rsidR="00D17DE0" w:rsidRPr="00DB7E2E" w:rsidRDefault="00D17DE0" w:rsidP="001621E0">
            <w:pPr>
              <w:widowControl/>
              <w:snapToGrid w:val="0"/>
              <w:spacing w:line="20" w:lineRule="exact"/>
              <w:jc w:val="left"/>
              <w:rPr>
                <w:rFonts w:ascii="楷体_GB2312" w:eastAsia="楷体_GB2312"/>
                <w:b/>
                <w:bCs/>
              </w:rPr>
            </w:pPr>
          </w:p>
        </w:tc>
      </w:tr>
      <w:tr w:rsidR="00D17DE0" w14:paraId="0343E311" w14:textId="77777777" w:rsidTr="00A964F3">
        <w:tc>
          <w:tcPr>
            <w:tcW w:w="10194" w:type="dxa"/>
            <w:tcBorders>
              <w:bottom w:val="nil"/>
            </w:tcBorders>
          </w:tcPr>
          <w:p w14:paraId="041A6290" w14:textId="77777777" w:rsidR="00D17DE0" w:rsidRPr="00FF10EE" w:rsidRDefault="00D17DE0" w:rsidP="00A964F3">
            <w:pPr>
              <w:widowControl/>
              <w:jc w:val="left"/>
              <w:rPr>
                <w:rFonts w:ascii="楷体_GB2312" w:eastAsia="楷体_GB2312"/>
                <w:b/>
                <w:bCs/>
              </w:rPr>
            </w:pPr>
          </w:p>
        </w:tc>
      </w:tr>
      <w:tr w:rsidR="00D17DE0" w14:paraId="3E35FE9F" w14:textId="77777777" w:rsidTr="00A964F3">
        <w:tc>
          <w:tcPr>
            <w:tcW w:w="10194" w:type="dxa"/>
            <w:tcBorders>
              <w:bottom w:val="nil"/>
            </w:tcBorders>
          </w:tcPr>
          <w:p w14:paraId="5E6AB1DB" w14:textId="77777777" w:rsidR="00D17DE0" w:rsidRPr="00FF10EE" w:rsidRDefault="00D17DE0" w:rsidP="00A964F3">
            <w:pPr>
              <w:widowControl/>
              <w:jc w:val="left"/>
              <w:rPr>
                <w:rFonts w:ascii="楷体_GB2312" w:eastAsia="楷体_GB2312"/>
                <w:b/>
                <w:bCs/>
              </w:rPr>
            </w:pPr>
          </w:p>
        </w:tc>
      </w:tr>
      <w:tr w:rsidR="00D17DE0" w14:paraId="284D89B6" w14:textId="77777777" w:rsidTr="00A964F3">
        <w:tc>
          <w:tcPr>
            <w:tcW w:w="10194" w:type="dxa"/>
            <w:tcBorders>
              <w:bottom w:val="nil"/>
            </w:tcBorders>
          </w:tcPr>
          <w:tbl>
            <w:tblPr>
              <w:tblW w:w="0" w:type="auto"/>
              <w:tblCellMar>
                <w:left w:w="10" w:type="dxa"/>
                <w:right w:w="10" w:type="dxa"/>
              </w:tblCellMar>
              <w:tblLook w:val="04A0" w:firstRow="1" w:lastRow="0" w:firstColumn="1" w:lastColumn="0" w:noHBand="0" w:noVBand="1"/>
            </w:tblPr>
            <w:tblGrid>
              <w:gridCol w:w="10174"/>
            </w:tblGrid>
            <w:tr w:rsidR="001621E0" w:rsidRPr="00FF10EE" w14:paraId="60C7688C" w14:textId="77777777" w:rsidTr="00CF4BE1">
              <w:trPr>
                <w:trHeight w:hRule="exact" w:val="23"/>
              </w:trPr>
              <w:tc>
                <w:tcPr>
                  <w:tcW w:w="10174" w:type="dxa"/>
                </w:tcPr>
                <w:p w14:paraId="7DAC946F" w14:textId="77777777" w:rsidR="001621E0" w:rsidRPr="002105ED" w:rsidRDefault="001621E0" w:rsidP="00407775">
                  <w:pPr>
                    <w:widowControl/>
                    <w:jc w:val="left"/>
                    <w:rPr>
                      <w:rFonts w:ascii="Times New Roman" w:eastAsia="楷体_GB2312" w:hAnsi="Times New Roman" w:cs="Times New Roman"/>
                      <w:b/>
                      <w:bCs/>
                    </w:rPr>
                  </w:pPr>
                  <w:r w:rsidRPr="002105ED">
                    <w:rPr>
                      <w:rFonts w:ascii="Times New Roman" w:eastAsia="楷体_GB2312" w:hAnsi="Times New Roman" w:cs="Times New Roman"/>
                      <w:b/>
                      <w:bCs/>
                      <w:color w:val="FFFFFF" w:themeColor="background1"/>
                    </w:rPr>
                    <w:t>[</w:t>
                  </w:r>
                  <w:proofErr w:type="spellStart"/>
                  <w:r w:rsidRPr="002105ED">
                    <w:rPr>
                      <w:rFonts w:ascii="Times New Roman" w:eastAsia="楷体_GB2312" w:hAnsi="Times New Roman" w:cs="Times New Roman"/>
                      <w:b/>
                      <w:bCs/>
                      <w:color w:val="FFFFFF" w:themeColor="background1"/>
                    </w:rPr>
                    <w:t>Table_AdressInfo</w:t>
                  </w:r>
                  <w:proofErr w:type="spellEnd"/>
                  <w:r w:rsidRPr="002105ED">
                    <w:rPr>
                      <w:rFonts w:ascii="Times New Roman" w:eastAsia="楷体_GB2312" w:hAnsi="Times New Roman" w:cs="Times New Roman"/>
                      <w:b/>
                      <w:bCs/>
                      <w:color w:val="FFFFFF" w:themeColor="background1"/>
                    </w:rPr>
                    <w:t>]</w:t>
                  </w:r>
                </w:p>
              </w:tc>
            </w:tr>
            <w:tr w:rsidR="001621E0" w:rsidRPr="00FF10EE" w14:paraId="4C41A2A9" w14:textId="77777777" w:rsidTr="00CF4BE1">
              <w:tc>
                <w:tcPr>
                  <w:tcW w:w="10174" w:type="dxa"/>
                </w:tcPr>
                <w:p w14:paraId="5D02B75F" w14:textId="77777777" w:rsidR="001621E0" w:rsidRPr="00FF10EE" w:rsidRDefault="001621E0" w:rsidP="00407775">
                  <w:pPr>
                    <w:widowControl/>
                    <w:jc w:val="left"/>
                    <w:rPr>
                      <w:rFonts w:ascii="楷体_GB2312" w:eastAsia="楷体_GB2312"/>
                      <w:b/>
                      <w:bCs/>
                    </w:rPr>
                  </w:pPr>
                  <w:r w:rsidRPr="00FF10EE">
                    <w:rPr>
                      <w:rFonts w:ascii="楷体_GB2312" w:eastAsia="楷体_GB2312" w:hAnsi="楷体" w:hint="eastAsia"/>
                      <w:b/>
                      <w:kern w:val="0"/>
                      <w:sz w:val="24"/>
                      <w:lang w:val="zh-CN"/>
                    </w:rPr>
                    <w:t>万联证券股份有限公司 研究所</w:t>
                  </w:r>
                </w:p>
              </w:tc>
            </w:tr>
            <w:tr w:rsidR="001621E0" w:rsidRPr="00FF10EE" w14:paraId="534EAB48" w14:textId="77777777" w:rsidTr="00CF4BE1">
              <w:tc>
                <w:tcPr>
                  <w:tcW w:w="10174" w:type="dxa"/>
                </w:tcPr>
                <w:p w14:paraId="0D09FD7F" w14:textId="77777777" w:rsidR="001621E0" w:rsidRPr="00FF10EE" w:rsidRDefault="001621E0" w:rsidP="00407775">
                  <w:pPr>
                    <w:widowControl/>
                    <w:jc w:val="left"/>
                    <w:rPr>
                      <w:rFonts w:ascii="楷体_GB2312" w:eastAsia="楷体_GB2312"/>
                      <w:b/>
                      <w:bCs/>
                    </w:rPr>
                  </w:pPr>
                  <w:r w:rsidRPr="00FF10EE">
                    <w:rPr>
                      <w:rFonts w:ascii="楷体_GB2312" w:eastAsia="楷体_GB2312" w:hAnsi="楷体" w:hint="eastAsia"/>
                      <w:kern w:val="0"/>
                    </w:rPr>
                    <w:t>上海浦东</w:t>
                  </w:r>
                  <w:proofErr w:type="gramStart"/>
                  <w:r w:rsidRPr="00FF10EE">
                    <w:rPr>
                      <w:rFonts w:ascii="楷体_GB2312" w:eastAsia="楷体_GB2312" w:hAnsi="楷体" w:hint="eastAsia"/>
                      <w:kern w:val="0"/>
                    </w:rPr>
                    <w:t>新区世纪</w:t>
                  </w:r>
                  <w:proofErr w:type="gramEnd"/>
                  <w:r w:rsidRPr="00FF10EE">
                    <w:rPr>
                      <w:rFonts w:ascii="楷体_GB2312" w:eastAsia="楷体_GB2312" w:hAnsi="楷体" w:hint="eastAsia"/>
                      <w:kern w:val="0"/>
                    </w:rPr>
                    <w:t>大道</w:t>
                  </w:r>
                  <w:r w:rsidRPr="00FF10EE">
                    <w:rPr>
                      <w:rFonts w:ascii="Times New Roman" w:eastAsia="楷体_GB2312" w:hAnsi="Times New Roman" w:cs="Times New Roman" w:hint="eastAsia"/>
                      <w:kern w:val="0"/>
                      <w:szCs w:val="32"/>
                      <w:lang w:val="zh-CN"/>
                    </w:rPr>
                    <w:t>1528</w:t>
                  </w:r>
                  <w:r w:rsidRPr="00FF10EE">
                    <w:rPr>
                      <w:rFonts w:ascii="楷体_GB2312" w:eastAsia="楷体_GB2312" w:hAnsi="楷体" w:hint="eastAsia"/>
                      <w:kern w:val="0"/>
                    </w:rPr>
                    <w:t>号陆家</w:t>
                  </w:r>
                  <w:proofErr w:type="gramStart"/>
                  <w:r w:rsidRPr="00FF10EE">
                    <w:rPr>
                      <w:rFonts w:ascii="楷体_GB2312" w:eastAsia="楷体_GB2312" w:hAnsi="楷体" w:hint="eastAsia"/>
                      <w:kern w:val="0"/>
                    </w:rPr>
                    <w:t>嘴基金</w:t>
                  </w:r>
                  <w:proofErr w:type="gramEnd"/>
                  <w:r w:rsidRPr="00FF10EE">
                    <w:rPr>
                      <w:rFonts w:ascii="楷体_GB2312" w:eastAsia="楷体_GB2312" w:hAnsi="楷体" w:hint="eastAsia"/>
                      <w:kern w:val="0"/>
                    </w:rPr>
                    <w:t>大厦</w:t>
                  </w:r>
                </w:p>
              </w:tc>
            </w:tr>
            <w:tr w:rsidR="001621E0" w:rsidRPr="00FF10EE" w14:paraId="06B9856B" w14:textId="77777777" w:rsidTr="00CF4BE1">
              <w:tc>
                <w:tcPr>
                  <w:tcW w:w="10174" w:type="dxa"/>
                </w:tcPr>
                <w:p w14:paraId="0C0DC133" w14:textId="77777777" w:rsidR="001621E0" w:rsidRPr="00FF10EE" w:rsidRDefault="001621E0" w:rsidP="00407775">
                  <w:pPr>
                    <w:widowControl/>
                    <w:jc w:val="left"/>
                    <w:rPr>
                      <w:rFonts w:ascii="楷体_GB2312" w:eastAsia="楷体_GB2312"/>
                      <w:b/>
                      <w:bCs/>
                    </w:rPr>
                  </w:pPr>
                  <w:r w:rsidRPr="00FF10EE">
                    <w:rPr>
                      <w:rFonts w:ascii="楷体_GB2312" w:eastAsia="楷体_GB2312" w:hint="eastAsia"/>
                    </w:rPr>
                    <w:t>北京西城区平安里西大街</w:t>
                  </w:r>
                  <w:r w:rsidRPr="00FF10EE">
                    <w:rPr>
                      <w:rFonts w:ascii="Times New Roman" w:eastAsia="楷体_GB2312" w:hAnsi="Times New Roman" w:cs="Times New Roman" w:hint="eastAsia"/>
                      <w:kern w:val="0"/>
                      <w:szCs w:val="32"/>
                      <w:lang w:val="zh-CN"/>
                    </w:rPr>
                    <w:t>28</w:t>
                  </w:r>
                  <w:r w:rsidRPr="00FF10EE">
                    <w:rPr>
                      <w:rFonts w:ascii="楷体_GB2312" w:eastAsia="楷体_GB2312" w:hint="eastAsia"/>
                    </w:rPr>
                    <w:t>号中海国际中心</w:t>
                  </w:r>
                </w:p>
              </w:tc>
            </w:tr>
            <w:tr w:rsidR="001621E0" w:rsidRPr="00FF10EE" w14:paraId="2FCEBDB7" w14:textId="77777777" w:rsidTr="00CF4BE1">
              <w:tc>
                <w:tcPr>
                  <w:tcW w:w="10174" w:type="dxa"/>
                </w:tcPr>
                <w:p w14:paraId="163FFCB7" w14:textId="77777777" w:rsidR="001621E0" w:rsidRPr="00FF10EE" w:rsidRDefault="001621E0" w:rsidP="00407775">
                  <w:pPr>
                    <w:widowControl/>
                    <w:jc w:val="left"/>
                    <w:rPr>
                      <w:rFonts w:ascii="楷体_GB2312" w:eastAsia="楷体_GB2312"/>
                      <w:b/>
                      <w:bCs/>
                    </w:rPr>
                  </w:pPr>
                  <w:r w:rsidRPr="00FF10EE">
                    <w:rPr>
                      <w:rFonts w:ascii="楷体_GB2312" w:eastAsia="楷体_GB2312" w:hint="eastAsia"/>
                    </w:rPr>
                    <w:t>深圳福田区深南大道</w:t>
                  </w:r>
                  <w:r w:rsidRPr="00FF10EE">
                    <w:rPr>
                      <w:rFonts w:ascii="Times New Roman" w:eastAsia="楷体_GB2312" w:hAnsi="Times New Roman" w:cs="Times New Roman" w:hint="eastAsia"/>
                      <w:kern w:val="0"/>
                      <w:szCs w:val="32"/>
                      <w:lang w:val="zh-CN"/>
                    </w:rPr>
                    <w:t>2007</w:t>
                  </w:r>
                  <w:r w:rsidRPr="00FF10EE">
                    <w:rPr>
                      <w:rFonts w:ascii="楷体_GB2312" w:eastAsia="楷体_GB2312" w:hint="eastAsia"/>
                    </w:rPr>
                    <w:t>号金地中心</w:t>
                  </w:r>
                </w:p>
              </w:tc>
            </w:tr>
            <w:tr w:rsidR="001621E0" w:rsidRPr="00FF10EE" w14:paraId="20087954" w14:textId="77777777" w:rsidTr="00CF4BE1">
              <w:tc>
                <w:tcPr>
                  <w:tcW w:w="10174" w:type="dxa"/>
                </w:tcPr>
                <w:p w14:paraId="2950E907" w14:textId="77777777" w:rsidR="001621E0" w:rsidRPr="00FF10EE" w:rsidRDefault="001621E0" w:rsidP="00407775">
                  <w:pPr>
                    <w:widowControl/>
                    <w:jc w:val="left"/>
                    <w:rPr>
                      <w:rFonts w:ascii="楷体_GB2312" w:eastAsia="楷体_GB2312"/>
                      <w:b/>
                      <w:bCs/>
                    </w:rPr>
                  </w:pPr>
                  <w:r w:rsidRPr="00FF10EE">
                    <w:rPr>
                      <w:rFonts w:ascii="楷体_GB2312" w:eastAsia="楷体_GB2312" w:hint="eastAsia"/>
                    </w:rPr>
                    <w:t>广州天河区珠江东路</w:t>
                  </w:r>
                  <w:r w:rsidRPr="00FF10EE">
                    <w:rPr>
                      <w:rFonts w:ascii="Times New Roman" w:eastAsia="楷体_GB2312" w:hAnsi="Times New Roman" w:cs="Times New Roman" w:hint="eastAsia"/>
                      <w:kern w:val="0"/>
                      <w:szCs w:val="32"/>
                      <w:lang w:val="zh-CN"/>
                    </w:rPr>
                    <w:t>11</w:t>
                  </w:r>
                  <w:r w:rsidRPr="00FF10EE">
                    <w:rPr>
                      <w:rFonts w:ascii="楷体_GB2312" w:eastAsia="楷体_GB2312" w:hint="eastAsia"/>
                    </w:rPr>
                    <w:t>号高德置地广场</w:t>
                  </w:r>
                </w:p>
              </w:tc>
            </w:tr>
          </w:tbl>
          <w:p w14:paraId="1DB0F256" w14:textId="77777777" w:rsidR="00D17DE0" w:rsidRPr="00DB7E2E" w:rsidRDefault="00D17DE0" w:rsidP="001621E0">
            <w:pPr>
              <w:widowControl/>
              <w:adjustRightInd w:val="0"/>
              <w:snapToGrid w:val="0"/>
              <w:spacing w:line="20" w:lineRule="exact"/>
              <w:jc w:val="left"/>
              <w:rPr>
                <w:rFonts w:ascii="楷体_GB2312" w:eastAsia="楷体_GB2312"/>
                <w:b/>
                <w:bCs/>
              </w:rPr>
            </w:pPr>
          </w:p>
        </w:tc>
      </w:tr>
    </w:tbl>
    <w:p w14:paraId="3B57DC41" w14:textId="77777777" w:rsidR="00D17DE0" w:rsidRPr="00D17DE0" w:rsidRDefault="00D17DE0"/>
    <w:sectPr w:rsidR="00D17DE0" w:rsidRPr="00D17DE0" w:rsidSect="00097663">
      <w:pgSz w:w="11906" w:h="16838"/>
      <w:pgMar w:top="709" w:right="851" w:bottom="851" w:left="851"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3B13C" w14:textId="77777777" w:rsidR="00097663" w:rsidRDefault="00097663" w:rsidP="003B0AB9">
      <w:r>
        <w:separator/>
      </w:r>
    </w:p>
  </w:endnote>
  <w:endnote w:type="continuationSeparator" w:id="0">
    <w:p w14:paraId="66EF9308" w14:textId="77777777" w:rsidR="00097663" w:rsidRDefault="00097663" w:rsidP="003B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5B5E" w14:textId="77777777" w:rsidR="003B0AB9" w:rsidRDefault="003B0AB9" w:rsidP="00CB5684">
    <w:pPr>
      <w:pStyle w:val="ab"/>
      <w:spacing w:line="14" w:lineRule="exact"/>
    </w:pPr>
    <w:r>
      <w:rPr>
        <w:noProof/>
      </w:rPr>
      <mc:AlternateContent>
        <mc:Choice Requires="wps">
          <w:drawing>
            <wp:anchor distT="45720" distB="45720" distL="114300" distR="114300" simplePos="0" relativeHeight="251660288" behindDoc="0" locked="0" layoutInCell="1" allowOverlap="1" wp14:anchorId="3FE63554" wp14:editId="7D98B972">
              <wp:simplePos x="0" y="0"/>
              <wp:positionH relativeFrom="column">
                <wp:posOffset>-144145</wp:posOffset>
              </wp:positionH>
              <wp:positionV relativeFrom="paragraph">
                <wp:posOffset>-284480</wp:posOffset>
              </wp:positionV>
              <wp:extent cx="6674400" cy="1404620"/>
              <wp:effectExtent l="0" t="0" r="0" b="825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00" cy="1404620"/>
                      </a:xfrm>
                      <a:prstGeom prst="rect">
                        <a:avLst/>
                      </a:prstGeom>
                      <a:solidFill>
                        <a:srgbClr val="FFFFFF"/>
                      </a:solidFill>
                      <a:ln w="9525">
                        <a:noFill/>
                        <a:miter lim="800000"/>
                        <a:headEnd/>
                        <a:tailEnd/>
                      </a:ln>
                    </wps:spPr>
                    <wps:txbx>
                      <w:txbxContent>
                        <w:tbl>
                          <w:tblPr>
                            <w:tblStyle w:val="ad"/>
                            <w:tblW w:w="0" w:type="auto"/>
                            <w:tblBorders>
                              <w:top w:val="single" w:sz="12" w:space="0" w:color="B4302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B0AB9" w14:paraId="714B614B" w14:textId="77777777" w:rsidTr="00D84F3A">
                            <w:trPr>
                              <w:trHeight w:hRule="exact" w:val="23"/>
                            </w:trPr>
                            <w:tc>
                              <w:tcPr>
                                <w:tcW w:w="10194" w:type="dxa"/>
                                <w:gridSpan w:val="2"/>
                              </w:tcPr>
                              <w:p w14:paraId="5E43FCF0" w14:textId="77777777" w:rsidR="003B0AB9" w:rsidRDefault="003B0AB9" w:rsidP="00CB5684">
                                <w:pPr>
                                  <w:pStyle w:val="ab"/>
                                </w:pPr>
                                <w:r>
                                  <w:rPr>
                                    <w:rFonts w:hint="eastAsia"/>
                                  </w:rPr>
                                  <w:t>[</w:t>
                                </w:r>
                                <w:proofErr w:type="spellStart"/>
                                <w:r>
                                  <w:t>Table_PageBoot</w:t>
                                </w:r>
                                <w:proofErr w:type="spellEnd"/>
                                <w:r>
                                  <w:t>]</w:t>
                                </w:r>
                              </w:p>
                            </w:tc>
                          </w:tr>
                          <w:tr w:rsidR="003B0AB9" w14:paraId="2A19403E" w14:textId="77777777" w:rsidTr="00D84F3A">
                            <w:tc>
                              <w:tcPr>
                                <w:tcW w:w="5097" w:type="dxa"/>
                              </w:tcPr>
                              <w:p w14:paraId="73E07FD7" w14:textId="77777777" w:rsidR="003B0AB9" w:rsidRDefault="003B0AB9" w:rsidP="00CB5684">
                                <w:pPr>
                                  <w:pStyle w:val="ab"/>
                                </w:pPr>
                                <w:bookmarkStart w:id="0" w:name="_Hlk56012333"/>
                                <w:r w:rsidRPr="009B0CEB">
                                  <w:rPr>
                                    <w:rFonts w:ascii="楷体_GB2312" w:eastAsia="楷体_GB2312" w:hAnsi="楷体" w:hint="eastAsia"/>
                                    <w:sz w:val="21"/>
                                    <w:szCs w:val="21"/>
                                  </w:rPr>
                                  <w:t>万联证券研究所</w:t>
                                </w:r>
                                <w:r w:rsidRPr="00315542">
                                  <w:rPr>
                                    <w:rFonts w:ascii="楷体" w:eastAsia="楷体" w:hAnsi="楷体" w:hint="eastAsia"/>
                                    <w:sz w:val="21"/>
                                    <w:szCs w:val="21"/>
                                  </w:rPr>
                                  <w:t xml:space="preserve"> </w:t>
                                </w:r>
                                <w:r w:rsidRPr="009B0CEB">
                                  <w:rPr>
                                    <w:rFonts w:ascii="Times New Roman" w:eastAsia="楷体" w:hAnsi="Times New Roman" w:cs="Times New Roman"/>
                                    <w:sz w:val="21"/>
                                    <w:szCs w:val="21"/>
                                  </w:rPr>
                                  <w:t>www.wlzq.cn</w:t>
                                </w:r>
                                <w:bookmarkEnd w:id="0"/>
                              </w:p>
                            </w:tc>
                            <w:tc>
                              <w:tcPr>
                                <w:tcW w:w="5097" w:type="dxa"/>
                              </w:tcPr>
                              <w:p w14:paraId="06955637" w14:textId="77777777" w:rsidR="003B0AB9" w:rsidRPr="009B0CEB" w:rsidRDefault="003B0AB9" w:rsidP="00CB5684">
                                <w:pPr>
                                  <w:pStyle w:val="ab"/>
                                  <w:jc w:val="right"/>
                                  <w:rPr>
                                    <w:rFonts w:ascii="楷体_GB2312" w:eastAsia="楷体_GB2312"/>
                                  </w:rPr>
                                </w:pPr>
                                <w:r w:rsidRPr="009B0CEB">
                                  <w:rPr>
                                    <w:rFonts w:ascii="楷体_GB2312" w:eastAsia="楷体_GB2312" w:hAnsi="楷体" w:hint="eastAsia"/>
                                    <w:color w:val="000000"/>
                                    <w:spacing w:val="-20"/>
                                    <w:kern w:val="0"/>
                                    <w:szCs w:val="21"/>
                                  </w:rPr>
                                  <w:t xml:space="preserve">第 </w:t>
                                </w:r>
                                <w:r w:rsidRPr="009B0CEB">
                                  <w:rPr>
                                    <w:rFonts w:ascii="Times New Roman" w:eastAsia="楷体_GB2312" w:hAnsi="Times New Roman" w:cs="Times New Roman"/>
                                    <w:color w:val="000000"/>
                                    <w:spacing w:val="-20"/>
                                    <w:kern w:val="0"/>
                                    <w:szCs w:val="21"/>
                                  </w:rPr>
                                  <w:fldChar w:fldCharType="begin"/>
                                </w:r>
                                <w:r w:rsidRPr="009B0CEB">
                                  <w:rPr>
                                    <w:rFonts w:ascii="Times New Roman" w:eastAsia="楷体_GB2312" w:hAnsi="Times New Roman" w:cs="Times New Roman"/>
                                    <w:color w:val="000000"/>
                                    <w:spacing w:val="-20"/>
                                    <w:kern w:val="0"/>
                                    <w:szCs w:val="21"/>
                                  </w:rPr>
                                  <w:instrText xml:space="preserve"> PAGE </w:instrText>
                                </w:r>
                                <w:r w:rsidRPr="009B0CEB">
                                  <w:rPr>
                                    <w:rFonts w:ascii="Times New Roman" w:eastAsia="楷体_GB2312" w:hAnsi="Times New Roman" w:cs="Times New Roman"/>
                                    <w:color w:val="000000"/>
                                    <w:spacing w:val="-20"/>
                                    <w:kern w:val="0"/>
                                    <w:szCs w:val="21"/>
                                  </w:rPr>
                                  <w:fldChar w:fldCharType="separate"/>
                                </w:r>
                                <w:r w:rsidRPr="009B0CEB">
                                  <w:rPr>
                                    <w:rFonts w:ascii="Times New Roman" w:eastAsia="楷体_GB2312" w:hAnsi="Times New Roman" w:cs="Times New Roman"/>
                                    <w:color w:val="000000"/>
                                    <w:spacing w:val="-20"/>
                                    <w:kern w:val="0"/>
                                    <w:szCs w:val="21"/>
                                  </w:rPr>
                                  <w:t>5</w:t>
                                </w:r>
                                <w:r w:rsidRPr="009B0CEB">
                                  <w:rPr>
                                    <w:rFonts w:ascii="Times New Roman" w:eastAsia="楷体_GB2312" w:hAnsi="Times New Roman" w:cs="Times New Roman"/>
                                    <w:color w:val="000000"/>
                                    <w:spacing w:val="-20"/>
                                    <w:kern w:val="0"/>
                                    <w:szCs w:val="21"/>
                                  </w:rPr>
                                  <w:fldChar w:fldCharType="end"/>
                                </w:r>
                                <w:r w:rsidRPr="009B0CEB">
                                  <w:rPr>
                                    <w:rFonts w:ascii="楷体_GB2312" w:eastAsia="楷体_GB2312" w:hAnsi="楷体" w:hint="eastAsia"/>
                                    <w:color w:val="000000"/>
                                    <w:spacing w:val="-20"/>
                                    <w:kern w:val="0"/>
                                    <w:szCs w:val="21"/>
                                  </w:rPr>
                                  <w:t xml:space="preserve"> 页 共 </w:t>
                                </w:r>
                                <w:r w:rsidRPr="009B0CEB">
                                  <w:rPr>
                                    <w:rFonts w:ascii="Times New Roman" w:eastAsia="楷体_GB2312" w:hAnsi="Times New Roman" w:cs="Times New Roman"/>
                                    <w:color w:val="000000"/>
                                    <w:spacing w:val="-20"/>
                                    <w:kern w:val="0"/>
                                    <w:szCs w:val="21"/>
                                  </w:rPr>
                                  <w:fldChar w:fldCharType="begin"/>
                                </w:r>
                                <w:r w:rsidRPr="009B0CEB">
                                  <w:rPr>
                                    <w:rFonts w:ascii="Times New Roman" w:eastAsia="楷体_GB2312" w:hAnsi="Times New Roman" w:cs="Times New Roman"/>
                                    <w:color w:val="000000"/>
                                    <w:spacing w:val="-20"/>
                                    <w:kern w:val="0"/>
                                    <w:szCs w:val="21"/>
                                  </w:rPr>
                                  <w:instrText xml:space="preserve"> NUMPAGES </w:instrText>
                                </w:r>
                                <w:r w:rsidRPr="009B0CEB">
                                  <w:rPr>
                                    <w:rFonts w:ascii="Times New Roman" w:eastAsia="楷体_GB2312" w:hAnsi="Times New Roman" w:cs="Times New Roman"/>
                                    <w:color w:val="000000"/>
                                    <w:spacing w:val="-20"/>
                                    <w:kern w:val="0"/>
                                    <w:szCs w:val="21"/>
                                  </w:rPr>
                                  <w:fldChar w:fldCharType="separate"/>
                                </w:r>
                                <w:r w:rsidRPr="009B0CEB">
                                  <w:rPr>
                                    <w:rFonts w:ascii="Times New Roman" w:eastAsia="楷体_GB2312" w:hAnsi="Times New Roman" w:cs="Times New Roman"/>
                                    <w:color w:val="000000"/>
                                    <w:spacing w:val="-20"/>
                                    <w:kern w:val="0"/>
                                    <w:szCs w:val="21"/>
                                  </w:rPr>
                                  <w:t>7</w:t>
                                </w:r>
                                <w:r w:rsidRPr="009B0CEB">
                                  <w:rPr>
                                    <w:rFonts w:ascii="Times New Roman" w:eastAsia="楷体_GB2312" w:hAnsi="Times New Roman" w:cs="Times New Roman"/>
                                    <w:color w:val="000000"/>
                                    <w:spacing w:val="-20"/>
                                    <w:kern w:val="0"/>
                                    <w:szCs w:val="21"/>
                                  </w:rPr>
                                  <w:fldChar w:fldCharType="end"/>
                                </w:r>
                                <w:bookmarkStart w:id="1" w:name="_Toc375226151"/>
                                <w:bookmarkStart w:id="2" w:name="_Toc375227442"/>
                                <w:r w:rsidRPr="009B0CEB">
                                  <w:rPr>
                                    <w:rFonts w:ascii="Times New Roman" w:eastAsia="楷体_GB2312" w:hAnsi="Times New Roman" w:cs="Times New Roman"/>
                                    <w:color w:val="000000"/>
                                    <w:spacing w:val="-20"/>
                                    <w:kern w:val="0"/>
                                    <w:szCs w:val="21"/>
                                  </w:rPr>
                                  <w:t xml:space="preserve"> </w:t>
                                </w:r>
                                <w:r w:rsidRPr="009B0CEB">
                                  <w:rPr>
                                    <w:rFonts w:ascii="楷体_GB2312" w:eastAsia="楷体_GB2312" w:hAnsi="楷体" w:hint="eastAsia"/>
                                    <w:color w:val="000000"/>
                                    <w:spacing w:val="-20"/>
                                    <w:kern w:val="0"/>
                                    <w:szCs w:val="21"/>
                                  </w:rPr>
                                  <w:t>页</w:t>
                                </w:r>
                              </w:p>
                            </w:tc>
                          </w:tr>
                          <w:bookmarkEnd w:id="1"/>
                          <w:bookmarkEnd w:id="2"/>
                        </w:tbl>
                        <w:p w14:paraId="25C25035" w14:textId="77777777" w:rsidR="003B0AB9" w:rsidRDefault="003B0AB9" w:rsidP="00CB5684">
                          <w:pPr>
                            <w:spacing w:line="14"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63554" id="_x0000_t202" coordsize="21600,21600" o:spt="202" path="m,l,21600r21600,l21600,xe">
              <v:stroke joinstyle="miter"/>
              <v:path gradientshapeok="t" o:connecttype="rect"/>
            </v:shapetype>
            <v:shape id="_x0000_s1031" type="#_x0000_t202" style="position:absolute;margin-left:-11.35pt;margin-top:-22.4pt;width:525.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re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" stroked="f">
              <v:textbox style="mso-fit-shape-to-text:t">
                <w:txbxContent>
                  <w:tbl>
                    <w:tblPr>
                      <w:tblStyle w:val="ad"/>
                      <w:tblW w:w="0" w:type="auto"/>
                      <w:tblBorders>
                        <w:top w:val="single" w:sz="12" w:space="0" w:color="B4302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B0AB9" w14:paraId="714B614B" w14:textId="77777777" w:rsidTr="00D84F3A">
                      <w:trPr>
                        <w:trHeight w:hRule="exact" w:val="23"/>
                      </w:trPr>
                      <w:tc>
                        <w:tcPr>
                          <w:tcW w:w="10194" w:type="dxa"/>
                          <w:gridSpan w:val="2"/>
                        </w:tcPr>
                        <w:p w14:paraId="5E43FCF0" w14:textId="77777777" w:rsidR="003B0AB9" w:rsidRDefault="003B0AB9" w:rsidP="00CB5684">
                          <w:pPr>
                            <w:pStyle w:val="ab"/>
                          </w:pPr>
                          <w:r>
                            <w:rPr>
                              <w:rFonts w:hint="eastAsia"/>
                            </w:rPr>
                            <w:t>[</w:t>
                          </w:r>
                          <w:proofErr w:type="spellStart"/>
                          <w:r>
                            <w:t>Table_PageBoot</w:t>
                          </w:r>
                          <w:proofErr w:type="spellEnd"/>
                          <w:r>
                            <w:t>]</w:t>
                          </w:r>
                        </w:p>
                      </w:tc>
                    </w:tr>
                    <w:tr w:rsidR="003B0AB9" w14:paraId="2A19403E" w14:textId="77777777" w:rsidTr="00D84F3A">
                      <w:tc>
                        <w:tcPr>
                          <w:tcW w:w="5097" w:type="dxa"/>
                        </w:tcPr>
                        <w:p w14:paraId="73E07FD7" w14:textId="77777777" w:rsidR="003B0AB9" w:rsidRDefault="003B0AB9" w:rsidP="00CB5684">
                          <w:pPr>
                            <w:pStyle w:val="ab"/>
                          </w:pPr>
                          <w:bookmarkStart w:id="3" w:name="_Hlk56012333"/>
                          <w:r w:rsidRPr="009B0CEB">
                            <w:rPr>
                              <w:rFonts w:ascii="楷体_GB2312" w:eastAsia="楷体_GB2312" w:hAnsi="楷体" w:hint="eastAsia"/>
                              <w:sz w:val="21"/>
                              <w:szCs w:val="21"/>
                            </w:rPr>
                            <w:t>万联证券研究所</w:t>
                          </w:r>
                          <w:r w:rsidRPr="00315542">
                            <w:rPr>
                              <w:rFonts w:ascii="楷体" w:eastAsia="楷体" w:hAnsi="楷体" w:hint="eastAsia"/>
                              <w:sz w:val="21"/>
                              <w:szCs w:val="21"/>
                            </w:rPr>
                            <w:t xml:space="preserve"> </w:t>
                          </w:r>
                          <w:r w:rsidRPr="009B0CEB">
                            <w:rPr>
                              <w:rFonts w:ascii="Times New Roman" w:eastAsia="楷体" w:hAnsi="Times New Roman" w:cs="Times New Roman"/>
                              <w:sz w:val="21"/>
                              <w:szCs w:val="21"/>
                            </w:rPr>
                            <w:t>www.wlzq.cn</w:t>
                          </w:r>
                          <w:bookmarkEnd w:id="3"/>
                        </w:p>
                      </w:tc>
                      <w:tc>
                        <w:tcPr>
                          <w:tcW w:w="5097" w:type="dxa"/>
                        </w:tcPr>
                        <w:p w14:paraId="06955637" w14:textId="77777777" w:rsidR="003B0AB9" w:rsidRPr="009B0CEB" w:rsidRDefault="003B0AB9" w:rsidP="00CB5684">
                          <w:pPr>
                            <w:pStyle w:val="ab"/>
                            <w:jc w:val="right"/>
                            <w:rPr>
                              <w:rFonts w:ascii="楷体_GB2312" w:eastAsia="楷体_GB2312"/>
                            </w:rPr>
                          </w:pPr>
                          <w:r w:rsidRPr="009B0CEB">
                            <w:rPr>
                              <w:rFonts w:ascii="楷体_GB2312" w:eastAsia="楷体_GB2312" w:hAnsi="楷体" w:hint="eastAsia"/>
                              <w:color w:val="000000"/>
                              <w:spacing w:val="-20"/>
                              <w:kern w:val="0"/>
                              <w:szCs w:val="21"/>
                            </w:rPr>
                            <w:t xml:space="preserve">第 </w:t>
                          </w:r>
                          <w:r w:rsidRPr="009B0CEB">
                            <w:rPr>
                              <w:rFonts w:ascii="Times New Roman" w:eastAsia="楷体_GB2312" w:hAnsi="Times New Roman" w:cs="Times New Roman"/>
                              <w:color w:val="000000"/>
                              <w:spacing w:val="-20"/>
                              <w:kern w:val="0"/>
                              <w:szCs w:val="21"/>
                            </w:rPr>
                            <w:fldChar w:fldCharType="begin"/>
                          </w:r>
                          <w:r w:rsidRPr="009B0CEB">
                            <w:rPr>
                              <w:rFonts w:ascii="Times New Roman" w:eastAsia="楷体_GB2312" w:hAnsi="Times New Roman" w:cs="Times New Roman"/>
                              <w:color w:val="000000"/>
                              <w:spacing w:val="-20"/>
                              <w:kern w:val="0"/>
                              <w:szCs w:val="21"/>
                            </w:rPr>
                            <w:instrText xml:space="preserve"> PAGE </w:instrText>
                          </w:r>
                          <w:r w:rsidRPr="009B0CEB">
                            <w:rPr>
                              <w:rFonts w:ascii="Times New Roman" w:eastAsia="楷体_GB2312" w:hAnsi="Times New Roman" w:cs="Times New Roman"/>
                              <w:color w:val="000000"/>
                              <w:spacing w:val="-20"/>
                              <w:kern w:val="0"/>
                              <w:szCs w:val="21"/>
                            </w:rPr>
                            <w:fldChar w:fldCharType="separate"/>
                          </w:r>
                          <w:r w:rsidRPr="009B0CEB">
                            <w:rPr>
                              <w:rFonts w:ascii="Times New Roman" w:eastAsia="楷体_GB2312" w:hAnsi="Times New Roman" w:cs="Times New Roman"/>
                              <w:color w:val="000000"/>
                              <w:spacing w:val="-20"/>
                              <w:kern w:val="0"/>
                              <w:szCs w:val="21"/>
                            </w:rPr>
                            <w:t>5</w:t>
                          </w:r>
                          <w:r w:rsidRPr="009B0CEB">
                            <w:rPr>
                              <w:rFonts w:ascii="Times New Roman" w:eastAsia="楷体_GB2312" w:hAnsi="Times New Roman" w:cs="Times New Roman"/>
                              <w:color w:val="000000"/>
                              <w:spacing w:val="-20"/>
                              <w:kern w:val="0"/>
                              <w:szCs w:val="21"/>
                            </w:rPr>
                            <w:fldChar w:fldCharType="end"/>
                          </w:r>
                          <w:r w:rsidRPr="009B0CEB">
                            <w:rPr>
                              <w:rFonts w:ascii="楷体_GB2312" w:eastAsia="楷体_GB2312" w:hAnsi="楷体" w:hint="eastAsia"/>
                              <w:color w:val="000000"/>
                              <w:spacing w:val="-20"/>
                              <w:kern w:val="0"/>
                              <w:szCs w:val="21"/>
                            </w:rPr>
                            <w:t xml:space="preserve"> 页 共 </w:t>
                          </w:r>
                          <w:r w:rsidRPr="009B0CEB">
                            <w:rPr>
                              <w:rFonts w:ascii="Times New Roman" w:eastAsia="楷体_GB2312" w:hAnsi="Times New Roman" w:cs="Times New Roman"/>
                              <w:color w:val="000000"/>
                              <w:spacing w:val="-20"/>
                              <w:kern w:val="0"/>
                              <w:szCs w:val="21"/>
                            </w:rPr>
                            <w:fldChar w:fldCharType="begin"/>
                          </w:r>
                          <w:r w:rsidRPr="009B0CEB">
                            <w:rPr>
                              <w:rFonts w:ascii="Times New Roman" w:eastAsia="楷体_GB2312" w:hAnsi="Times New Roman" w:cs="Times New Roman"/>
                              <w:color w:val="000000"/>
                              <w:spacing w:val="-20"/>
                              <w:kern w:val="0"/>
                              <w:szCs w:val="21"/>
                            </w:rPr>
                            <w:instrText xml:space="preserve"> NUMPAGES </w:instrText>
                          </w:r>
                          <w:r w:rsidRPr="009B0CEB">
                            <w:rPr>
                              <w:rFonts w:ascii="Times New Roman" w:eastAsia="楷体_GB2312" w:hAnsi="Times New Roman" w:cs="Times New Roman"/>
                              <w:color w:val="000000"/>
                              <w:spacing w:val="-20"/>
                              <w:kern w:val="0"/>
                              <w:szCs w:val="21"/>
                            </w:rPr>
                            <w:fldChar w:fldCharType="separate"/>
                          </w:r>
                          <w:r w:rsidRPr="009B0CEB">
                            <w:rPr>
                              <w:rFonts w:ascii="Times New Roman" w:eastAsia="楷体_GB2312" w:hAnsi="Times New Roman" w:cs="Times New Roman"/>
                              <w:color w:val="000000"/>
                              <w:spacing w:val="-20"/>
                              <w:kern w:val="0"/>
                              <w:szCs w:val="21"/>
                            </w:rPr>
                            <w:t>7</w:t>
                          </w:r>
                          <w:r w:rsidRPr="009B0CEB">
                            <w:rPr>
                              <w:rFonts w:ascii="Times New Roman" w:eastAsia="楷体_GB2312" w:hAnsi="Times New Roman" w:cs="Times New Roman"/>
                              <w:color w:val="000000"/>
                              <w:spacing w:val="-20"/>
                              <w:kern w:val="0"/>
                              <w:szCs w:val="21"/>
                            </w:rPr>
                            <w:fldChar w:fldCharType="end"/>
                          </w:r>
                          <w:bookmarkStart w:id="4" w:name="_Toc375226151"/>
                          <w:bookmarkStart w:id="5" w:name="_Toc375227442"/>
                          <w:r w:rsidRPr="009B0CEB">
                            <w:rPr>
                              <w:rFonts w:ascii="Times New Roman" w:eastAsia="楷体_GB2312" w:hAnsi="Times New Roman" w:cs="Times New Roman"/>
                              <w:color w:val="000000"/>
                              <w:spacing w:val="-20"/>
                              <w:kern w:val="0"/>
                              <w:szCs w:val="21"/>
                            </w:rPr>
                            <w:t xml:space="preserve"> </w:t>
                          </w:r>
                          <w:r w:rsidRPr="009B0CEB">
                            <w:rPr>
                              <w:rFonts w:ascii="楷体_GB2312" w:eastAsia="楷体_GB2312" w:hAnsi="楷体" w:hint="eastAsia"/>
                              <w:color w:val="000000"/>
                              <w:spacing w:val="-20"/>
                              <w:kern w:val="0"/>
                              <w:szCs w:val="21"/>
                            </w:rPr>
                            <w:t>页</w:t>
                          </w:r>
                        </w:p>
                      </w:tc>
                    </w:tr>
                    <w:bookmarkEnd w:id="4"/>
                    <w:bookmarkEnd w:id="5"/>
                  </w:tbl>
                  <w:p w14:paraId="25C25035" w14:textId="77777777" w:rsidR="003B0AB9" w:rsidRDefault="003B0AB9" w:rsidP="00CB5684">
                    <w:pPr>
                      <w:spacing w:line="14" w:lineRule="exac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B169" w14:textId="77777777" w:rsidR="00097663" w:rsidRDefault="00097663" w:rsidP="003B0AB9">
      <w:r>
        <w:separator/>
      </w:r>
    </w:p>
  </w:footnote>
  <w:footnote w:type="continuationSeparator" w:id="0">
    <w:p w14:paraId="2C7990FE" w14:textId="77777777" w:rsidR="00097663" w:rsidRDefault="00097663" w:rsidP="003B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BE4E" w14:textId="77777777" w:rsidR="003B0AB9" w:rsidRPr="00B8527A" w:rsidRDefault="003B0AB9" w:rsidP="002950D1">
    <w:pPr>
      <w:pStyle w:val="a9"/>
      <w:pBdr>
        <w:bottom w:val="none" w:sz="0" w:space="0" w:color="auto"/>
      </w:pBdr>
      <w:spacing w:line="14" w:lineRule="exact"/>
      <w:jc w:val="both"/>
    </w:pPr>
    <w:r>
      <w:rPr>
        <w:noProof/>
      </w:rPr>
      <mc:AlternateContent>
        <mc:Choice Requires="wps">
          <w:drawing>
            <wp:anchor distT="45720" distB="45720" distL="114300" distR="114300" simplePos="0" relativeHeight="251659264" behindDoc="0" locked="0" layoutInCell="1" allowOverlap="1" wp14:anchorId="3FB1E34C" wp14:editId="2669B234">
              <wp:simplePos x="0" y="0"/>
              <wp:positionH relativeFrom="column">
                <wp:posOffset>-144145</wp:posOffset>
              </wp:positionH>
              <wp:positionV relativeFrom="paragraph">
                <wp:posOffset>-144145</wp:posOffset>
              </wp:positionV>
              <wp:extent cx="6948000" cy="1404620"/>
              <wp:effectExtent l="0" t="0" r="571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000" cy="1404620"/>
                      </a:xfrm>
                      <a:prstGeom prst="rect">
                        <a:avLst/>
                      </a:prstGeom>
                      <a:solidFill>
                        <a:srgbClr val="FFFFFF"/>
                      </a:solidFill>
                      <a:ln w="9525">
                        <a:noFill/>
                        <a:miter lim="800000"/>
                        <a:headEnd/>
                        <a:tailEnd/>
                      </a:ln>
                    </wps:spPr>
                    <wps:txbx>
                      <w:txbxContent>
                        <w:tbl>
                          <w:tblPr>
                            <w:tblStyle w:val="ad"/>
                            <w:tblW w:w="0" w:type="auto"/>
                            <w:tblBorders>
                              <w:top w:val="none" w:sz="0" w:space="0" w:color="auto"/>
                              <w:left w:val="none" w:sz="0" w:space="0" w:color="auto"/>
                              <w:bottom w:val="single" w:sz="12" w:space="0" w:color="B4302B"/>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106"/>
                          </w:tblGrid>
                          <w:tr w:rsidR="003B0AB9" w14:paraId="11F1F43B" w14:textId="77777777" w:rsidTr="00D84F3A">
                            <w:trPr>
                              <w:cantSplit/>
                              <w:trHeight w:hRule="exact" w:val="703"/>
                            </w:trPr>
                            <w:tc>
                              <w:tcPr>
                                <w:tcW w:w="5097" w:type="dxa"/>
                                <w:vAlign w:val="bottom"/>
                              </w:tcPr>
                              <w:p w14:paraId="0497A139" w14:textId="40E35F58" w:rsidR="003B0AB9" w:rsidRDefault="00D84F3A" w:rsidP="002950D1">
                                <w:pPr>
                                  <w:pStyle w:val="a9"/>
                                  <w:pBdr>
                                    <w:bottom w:val="none" w:sz="0" w:space="0" w:color="auto"/>
                                  </w:pBdr>
                                  <w:jc w:val="both"/>
                                </w:pPr>
                                <w:r>
                                  <w:rPr>
                                    <w:noProof/>
                                  </w:rPr>
                                  <w:drawing>
                                    <wp:inline distT="0" distB="0" distL="0" distR="0" wp14:anchorId="6DCD9798" wp14:editId="033DA041">
                                      <wp:extent cx="1411200" cy="277200"/>
                                      <wp:effectExtent l="0" t="0" r="0" b="8890"/>
                                      <wp:docPr id="1183859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277200"/>
                                              </a:xfrm>
                                              <a:prstGeom prst="rect">
                                                <a:avLst/>
                                              </a:prstGeom>
                                              <a:noFill/>
                                              <a:ln>
                                                <a:noFill/>
                                              </a:ln>
                                            </pic:spPr>
                                          </pic:pic>
                                        </a:graphicData>
                                      </a:graphic>
                                    </wp:inline>
                                  </w:drawing>
                                </w:r>
                              </w:p>
                            </w:tc>
                            <w:tc>
                              <w:tcPr>
                                <w:tcW w:w="5097" w:type="dxa"/>
                                <w:vAlign w:val="bottom"/>
                              </w:tcPr>
                              <w:tbl>
                                <w:tblPr>
                                  <w:tblStyle w:val="ad"/>
                                  <w:tblW w:w="3402" w:type="dxa"/>
                                  <w:tblInd w:w="1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061"/>
                                </w:tblGrid>
                                <w:tr w:rsidR="003B0AB9" w14:paraId="473CD0FA" w14:textId="77777777" w:rsidTr="006E0CAF">
                                  <w:trPr>
                                    <w:gridAfter w:val="1"/>
                                    <w:wAfter w:w="1061" w:type="dxa"/>
                                    <w:cantSplit/>
                                    <w:trHeight w:hRule="exact" w:val="23"/>
                                  </w:trPr>
                                  <w:tc>
                                    <w:tcPr>
                                      <w:tcW w:w="2341" w:type="dxa"/>
                                    </w:tcPr>
                                    <w:p w14:paraId="4810CAB1" w14:textId="77777777" w:rsidR="003B0AB9" w:rsidRPr="007B069E" w:rsidRDefault="003B0AB9" w:rsidP="002950D1">
                                      <w:pPr>
                                        <w:pStyle w:val="a9"/>
                                        <w:pBdr>
                                          <w:bottom w:val="none" w:sz="0" w:space="0" w:color="auto"/>
                                        </w:pBdr>
                                        <w:jc w:val="both"/>
                                        <w:rPr>
                                          <w:rFonts w:ascii="Times New Roman" w:hAnsi="Times New Roman" w:cs="Times New Roman"/>
                                        </w:rPr>
                                      </w:pPr>
                                      <w:r w:rsidRPr="007B069E">
                                        <w:rPr>
                                          <w:rFonts w:ascii="Times New Roman" w:hAnsi="Times New Roman" w:cs="Times New Roman"/>
                                        </w:rPr>
                                        <w:t>[</w:t>
                                      </w:r>
                                      <w:proofErr w:type="spellStart"/>
                                      <w:r w:rsidRPr="007B069E">
                                        <w:rPr>
                                          <w:rFonts w:ascii="Times New Roman" w:hAnsi="Times New Roman" w:cs="Times New Roman"/>
                                        </w:rPr>
                                        <w:t>Table_Pagehead</w:t>
                                      </w:r>
                                      <w:proofErr w:type="spellEnd"/>
                                      <w:r w:rsidRPr="007B069E">
                                        <w:rPr>
                                          <w:rFonts w:ascii="Times New Roman" w:hAnsi="Times New Roman" w:cs="Times New Roman"/>
                                        </w:rPr>
                                        <w:t>]</w:t>
                                      </w:r>
                                    </w:p>
                                  </w:tc>
                                </w:tr>
                                <w:tr w:rsidR="003B0AB9" w14:paraId="772F757D" w14:textId="77777777" w:rsidTr="006E0CAF">
                                  <w:trPr>
                                    <w:cantSplit/>
                                    <w:trHeight w:hRule="exact" w:val="680"/>
                                  </w:trPr>
                                  <w:tc>
                                    <w:tcPr>
                                      <w:tcW w:w="3402" w:type="dxa"/>
                                      <w:gridSpan w:val="2"/>
                                      <w:vAlign w:val="bottom"/>
                                    </w:tcPr>
                                    <w:p w14:paraId="0329D726" w14:textId="0AD3E3A5" w:rsidR="003B0AB9" w:rsidRPr="002950D1" w:rsidRDefault="003B0AB9" w:rsidP="002950D1">
                                      <w:pPr>
                                        <w:pStyle w:val="a9"/>
                                        <w:pBdr>
                                          <w:bottom w:val="none" w:sz="0" w:space="0" w:color="auto"/>
                                        </w:pBdr>
                                        <w:jc w:val="right"/>
                                        <w:rPr>
                                          <w:rFonts w:ascii="楷体_GB2312" w:eastAsia="楷体_GB2312"/>
                                          <w:sz w:val="21"/>
                                          <w:szCs w:val="21"/>
                                        </w:rPr>
                                      </w:pPr>
                                      <w:r w:rsidRPr="002950D1">
                                        <w:rPr>
                                          <w:rFonts w:ascii="楷体_GB2312" w:eastAsia="楷体_GB2312" w:hAnsi="楷体" w:hint="eastAsia"/>
                                          <w:b/>
                                          <w:bCs/>
                                          <w:color w:val="000000"/>
                                          <w:sz w:val="21"/>
                                          <w:szCs w:val="21"/>
                                        </w:rPr>
                                        <w:t>证券研究报告|</w:t>
                                      </w:r>
                                      <w:r w:rsidR="006E0CAF">
                                        <w:rPr>
                                          <w:rFonts w:ascii="楷体_GB2312" w:eastAsia="楷体_GB2312" w:hAnsi="楷体" w:hint="eastAsia"/>
                                          <w:b/>
                                          <w:bCs/>
                                          <w:color w:val="000000"/>
                                          <w:sz w:val="21"/>
                                          <w:szCs w:val="21"/>
                                        </w:rPr>
                                        <w:t>策略</w:t>
                                      </w:r>
                                      <w:r w:rsidR="001C3D69">
                                        <w:rPr>
                                          <w:rFonts w:ascii="楷体_GB2312" w:eastAsia="楷体_GB2312" w:hAnsi="楷体" w:hint="eastAsia"/>
                                          <w:b/>
                                          <w:bCs/>
                                          <w:color w:val="000000"/>
                                          <w:sz w:val="21"/>
                                          <w:szCs w:val="21"/>
                                        </w:rPr>
                                        <w:t>报告</w:t>
                                      </w:r>
                                      <w:r w:rsidRPr="002950D1">
                                        <w:rPr>
                                          <w:rFonts w:ascii="楷体_GB2312" w:eastAsia="楷体_GB2312"/>
                                          <w:sz w:val="21"/>
                                          <w:szCs w:val="21"/>
                                        </w:rPr>
                                        <w:t xml:space="preserve"> </w:t>
                                      </w:r>
                                    </w:p>
                                  </w:tc>
                                </w:tr>
                              </w:tbl>
                              <w:p w14:paraId="72BB2E73" w14:textId="77777777" w:rsidR="003B0AB9" w:rsidRDefault="003B0AB9" w:rsidP="002950D1">
                                <w:pPr>
                                  <w:pStyle w:val="a9"/>
                                  <w:pBdr>
                                    <w:bottom w:val="none" w:sz="0" w:space="0" w:color="auto"/>
                                  </w:pBdr>
                                  <w:jc w:val="right"/>
                                </w:pPr>
                              </w:p>
                            </w:tc>
                          </w:tr>
                        </w:tbl>
                        <w:p w14:paraId="0A33380E" w14:textId="77777777" w:rsidR="003B0AB9" w:rsidRPr="002950D1" w:rsidRDefault="003B0AB9" w:rsidP="002950D1">
                          <w:pPr>
                            <w:spacing w:line="14"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1E34C" id="_x0000_t202" coordsize="21600,21600" o:spt="202" path="m,l,21600r21600,l21600,xe">
              <v:stroke joinstyle="miter"/>
              <v:path gradientshapeok="t" o:connecttype="rect"/>
            </v:shapetype>
            <v:shape id="文本框 2" o:spid="_x0000_s1030" type="#_x0000_t202" style="position:absolute;left:0;text-align:left;margin-left:-11.35pt;margin-top:-11.35pt;width:5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" stroked="f">
              <v:textbox style="mso-fit-shape-to-text:t">
                <w:txbxContent>
                  <w:tbl>
                    <w:tblPr>
                      <w:tblStyle w:val="ad"/>
                      <w:tblW w:w="0" w:type="auto"/>
                      <w:tblBorders>
                        <w:top w:val="none" w:sz="0" w:space="0" w:color="auto"/>
                        <w:left w:val="none" w:sz="0" w:space="0" w:color="auto"/>
                        <w:bottom w:val="single" w:sz="12" w:space="0" w:color="B4302B"/>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106"/>
                    </w:tblGrid>
                    <w:tr w:rsidR="003B0AB9" w14:paraId="11F1F43B" w14:textId="77777777" w:rsidTr="00D84F3A">
                      <w:trPr>
                        <w:cantSplit/>
                        <w:trHeight w:hRule="exact" w:val="703"/>
                      </w:trPr>
                      <w:tc>
                        <w:tcPr>
                          <w:tcW w:w="5097" w:type="dxa"/>
                          <w:vAlign w:val="bottom"/>
                        </w:tcPr>
                        <w:p w14:paraId="0497A139" w14:textId="40E35F58" w:rsidR="003B0AB9" w:rsidRDefault="00D84F3A" w:rsidP="002950D1">
                          <w:pPr>
                            <w:pStyle w:val="a9"/>
                            <w:pBdr>
                              <w:bottom w:val="none" w:sz="0" w:space="0" w:color="auto"/>
                            </w:pBdr>
                            <w:jc w:val="both"/>
                          </w:pPr>
                          <w:r>
                            <w:rPr>
                              <w:noProof/>
                            </w:rPr>
                            <w:drawing>
                              <wp:inline distT="0" distB="0" distL="0" distR="0" wp14:anchorId="6DCD9798" wp14:editId="033DA041">
                                <wp:extent cx="1411200" cy="277200"/>
                                <wp:effectExtent l="0" t="0" r="0" b="8890"/>
                                <wp:docPr id="1183859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277200"/>
                                        </a:xfrm>
                                        <a:prstGeom prst="rect">
                                          <a:avLst/>
                                        </a:prstGeom>
                                        <a:noFill/>
                                        <a:ln>
                                          <a:noFill/>
                                        </a:ln>
                                      </pic:spPr>
                                    </pic:pic>
                                  </a:graphicData>
                                </a:graphic>
                              </wp:inline>
                            </w:drawing>
                          </w:r>
                        </w:p>
                      </w:tc>
                      <w:tc>
                        <w:tcPr>
                          <w:tcW w:w="5097" w:type="dxa"/>
                          <w:vAlign w:val="bottom"/>
                        </w:tcPr>
                        <w:tbl>
                          <w:tblPr>
                            <w:tblStyle w:val="ad"/>
                            <w:tblW w:w="3402" w:type="dxa"/>
                            <w:tblInd w:w="1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061"/>
                          </w:tblGrid>
                          <w:tr w:rsidR="003B0AB9" w14:paraId="473CD0FA" w14:textId="77777777" w:rsidTr="006E0CAF">
                            <w:trPr>
                              <w:gridAfter w:val="1"/>
                              <w:wAfter w:w="1061" w:type="dxa"/>
                              <w:cantSplit/>
                              <w:trHeight w:hRule="exact" w:val="23"/>
                            </w:trPr>
                            <w:tc>
                              <w:tcPr>
                                <w:tcW w:w="2341" w:type="dxa"/>
                              </w:tcPr>
                              <w:p w14:paraId="4810CAB1" w14:textId="77777777" w:rsidR="003B0AB9" w:rsidRPr="007B069E" w:rsidRDefault="003B0AB9" w:rsidP="002950D1">
                                <w:pPr>
                                  <w:pStyle w:val="a9"/>
                                  <w:pBdr>
                                    <w:bottom w:val="none" w:sz="0" w:space="0" w:color="auto"/>
                                  </w:pBdr>
                                  <w:jc w:val="both"/>
                                  <w:rPr>
                                    <w:rFonts w:ascii="Times New Roman" w:hAnsi="Times New Roman" w:cs="Times New Roman"/>
                                  </w:rPr>
                                </w:pPr>
                                <w:r w:rsidRPr="007B069E">
                                  <w:rPr>
                                    <w:rFonts w:ascii="Times New Roman" w:hAnsi="Times New Roman" w:cs="Times New Roman"/>
                                  </w:rPr>
                                  <w:t>[</w:t>
                                </w:r>
                                <w:proofErr w:type="spellStart"/>
                                <w:r w:rsidRPr="007B069E">
                                  <w:rPr>
                                    <w:rFonts w:ascii="Times New Roman" w:hAnsi="Times New Roman" w:cs="Times New Roman"/>
                                  </w:rPr>
                                  <w:t>Table_Pagehead</w:t>
                                </w:r>
                                <w:proofErr w:type="spellEnd"/>
                                <w:r w:rsidRPr="007B069E">
                                  <w:rPr>
                                    <w:rFonts w:ascii="Times New Roman" w:hAnsi="Times New Roman" w:cs="Times New Roman"/>
                                  </w:rPr>
                                  <w:t>]</w:t>
                                </w:r>
                              </w:p>
                            </w:tc>
                          </w:tr>
                          <w:tr w:rsidR="003B0AB9" w14:paraId="772F757D" w14:textId="77777777" w:rsidTr="006E0CAF">
                            <w:trPr>
                              <w:cantSplit/>
                              <w:trHeight w:hRule="exact" w:val="680"/>
                            </w:trPr>
                            <w:tc>
                              <w:tcPr>
                                <w:tcW w:w="3402" w:type="dxa"/>
                                <w:gridSpan w:val="2"/>
                                <w:vAlign w:val="bottom"/>
                              </w:tcPr>
                              <w:p w14:paraId="0329D726" w14:textId="0AD3E3A5" w:rsidR="003B0AB9" w:rsidRPr="002950D1" w:rsidRDefault="003B0AB9" w:rsidP="002950D1">
                                <w:pPr>
                                  <w:pStyle w:val="a9"/>
                                  <w:pBdr>
                                    <w:bottom w:val="none" w:sz="0" w:space="0" w:color="auto"/>
                                  </w:pBdr>
                                  <w:jc w:val="right"/>
                                  <w:rPr>
                                    <w:rFonts w:ascii="楷体_GB2312" w:eastAsia="楷体_GB2312"/>
                                    <w:sz w:val="21"/>
                                    <w:szCs w:val="21"/>
                                  </w:rPr>
                                </w:pPr>
                                <w:r w:rsidRPr="002950D1">
                                  <w:rPr>
                                    <w:rFonts w:ascii="楷体_GB2312" w:eastAsia="楷体_GB2312" w:hAnsi="楷体" w:hint="eastAsia"/>
                                    <w:b/>
                                    <w:bCs/>
                                    <w:color w:val="000000"/>
                                    <w:sz w:val="21"/>
                                    <w:szCs w:val="21"/>
                                  </w:rPr>
                                  <w:t>证券研究报告|</w:t>
                                </w:r>
                                <w:r w:rsidR="006E0CAF">
                                  <w:rPr>
                                    <w:rFonts w:ascii="楷体_GB2312" w:eastAsia="楷体_GB2312" w:hAnsi="楷体" w:hint="eastAsia"/>
                                    <w:b/>
                                    <w:bCs/>
                                    <w:color w:val="000000"/>
                                    <w:sz w:val="21"/>
                                    <w:szCs w:val="21"/>
                                  </w:rPr>
                                  <w:t>策略</w:t>
                                </w:r>
                                <w:r w:rsidR="001C3D69">
                                  <w:rPr>
                                    <w:rFonts w:ascii="楷体_GB2312" w:eastAsia="楷体_GB2312" w:hAnsi="楷体" w:hint="eastAsia"/>
                                    <w:b/>
                                    <w:bCs/>
                                    <w:color w:val="000000"/>
                                    <w:sz w:val="21"/>
                                    <w:szCs w:val="21"/>
                                  </w:rPr>
                                  <w:t>报告</w:t>
                                </w:r>
                                <w:r w:rsidRPr="002950D1">
                                  <w:rPr>
                                    <w:rFonts w:ascii="楷体_GB2312" w:eastAsia="楷体_GB2312"/>
                                    <w:sz w:val="21"/>
                                    <w:szCs w:val="21"/>
                                  </w:rPr>
                                  <w:t xml:space="preserve"> </w:t>
                                </w:r>
                              </w:p>
                            </w:tc>
                          </w:tr>
                        </w:tbl>
                        <w:p w14:paraId="72BB2E73" w14:textId="77777777" w:rsidR="003B0AB9" w:rsidRDefault="003B0AB9" w:rsidP="002950D1">
                          <w:pPr>
                            <w:pStyle w:val="a9"/>
                            <w:pBdr>
                              <w:bottom w:val="none" w:sz="0" w:space="0" w:color="auto"/>
                            </w:pBdr>
                            <w:jc w:val="right"/>
                          </w:pPr>
                        </w:p>
                      </w:tc>
                    </w:tr>
                  </w:tbl>
                  <w:p w14:paraId="0A33380E" w14:textId="77777777" w:rsidR="003B0AB9" w:rsidRPr="002950D1" w:rsidRDefault="003B0AB9" w:rsidP="002950D1">
                    <w:pPr>
                      <w:spacing w:line="14" w:lineRule="exact"/>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7BC8" w14:textId="77777777" w:rsidR="003B0AB9" w:rsidRDefault="003B0AB9" w:rsidP="00A26F4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83E"/>
    <w:multiLevelType w:val="multilevel"/>
    <w:tmpl w:val="F6D014CC"/>
    <w:lvl w:ilvl="0">
      <w:start w:val="1"/>
      <w:numFmt w:val="decimal"/>
      <w:pStyle w:val="a"/>
      <w:suff w:val="nothing"/>
      <w:lvlText w:val="%1    "/>
      <w:lvlJc w:val="left"/>
      <w:pPr>
        <w:ind w:left="2552" w:firstLine="0"/>
      </w:pPr>
      <w:rPr>
        <w:rFonts w:hint="eastAsia"/>
      </w:rPr>
    </w:lvl>
    <w:lvl w:ilvl="1">
      <w:start w:val="1"/>
      <w:numFmt w:val="decimal"/>
      <w:pStyle w:val="a0"/>
      <w:suff w:val="nothing"/>
      <w:lvlText w:val="%1.%2  "/>
      <w:lvlJc w:val="left"/>
      <w:pPr>
        <w:ind w:left="2552" w:firstLine="0"/>
      </w:pPr>
      <w:rPr>
        <w:rFonts w:hint="eastAsia"/>
      </w:rPr>
    </w:lvl>
    <w:lvl w:ilvl="2">
      <w:start w:val="1"/>
      <w:numFmt w:val="decimal"/>
      <w:pStyle w:val="a1"/>
      <w:suff w:val="nothing"/>
      <w:lvlText w:val="%1.%2.%3"/>
      <w:lvlJc w:val="left"/>
      <w:pPr>
        <w:ind w:left="5813"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2190C18"/>
    <w:multiLevelType w:val="multilevel"/>
    <w:tmpl w:val="E2B49532"/>
    <w:lvl w:ilvl="0">
      <w:start w:val="1"/>
      <w:numFmt w:val="decimal"/>
      <w:pStyle w:val="a2"/>
      <w:suff w:val="nothing"/>
      <w:lvlText w:val="图表%1："/>
      <w:lvlJc w:val="left"/>
      <w:pPr>
        <w:ind w:left="425" w:hanging="425"/>
      </w:pPr>
      <w:rPr>
        <w:rFonts w:ascii="Times New Roman" w:eastAsia="楷体_GB2312"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9DB3DE1"/>
    <w:multiLevelType w:val="hybridMultilevel"/>
    <w:tmpl w:val="DBF83BE4"/>
    <w:lvl w:ilvl="0" w:tplc="CEBC7D8C">
      <w:start w:val="1"/>
      <w:numFmt w:val="bullet"/>
      <w:lvlText w:val=""/>
      <w:lvlJc w:val="left"/>
      <w:pPr>
        <w:tabs>
          <w:tab w:val="num" w:pos="598"/>
        </w:tabs>
        <w:ind w:left="598" w:hanging="420"/>
      </w:pPr>
      <w:rPr>
        <w:rFonts w:ascii="Wingdings" w:hAnsi="Wingdings" w:hint="default"/>
      </w:rPr>
    </w:lvl>
    <w:lvl w:ilvl="1" w:tplc="04090003">
      <w:start w:val="1"/>
      <w:numFmt w:val="bullet"/>
      <w:lvlText w:val=""/>
      <w:lvlJc w:val="left"/>
      <w:pPr>
        <w:tabs>
          <w:tab w:val="num" w:pos="1018"/>
        </w:tabs>
        <w:ind w:left="1018" w:hanging="420"/>
      </w:pPr>
      <w:rPr>
        <w:rFonts w:ascii="Wingdings" w:hAnsi="Wingdings" w:hint="default"/>
      </w:rPr>
    </w:lvl>
    <w:lvl w:ilvl="2" w:tplc="04090005">
      <w:start w:val="1"/>
      <w:numFmt w:val="bullet"/>
      <w:lvlText w:val=""/>
      <w:lvlJc w:val="left"/>
      <w:pPr>
        <w:tabs>
          <w:tab w:val="num" w:pos="1438"/>
        </w:tabs>
        <w:ind w:left="1438" w:hanging="420"/>
      </w:pPr>
      <w:rPr>
        <w:rFonts w:ascii="Wingdings" w:hAnsi="Wingdings" w:hint="default"/>
      </w:rPr>
    </w:lvl>
    <w:lvl w:ilvl="3" w:tplc="04090001">
      <w:start w:val="1"/>
      <w:numFmt w:val="bullet"/>
      <w:lvlText w:val=""/>
      <w:lvlJc w:val="left"/>
      <w:pPr>
        <w:tabs>
          <w:tab w:val="num" w:pos="1858"/>
        </w:tabs>
        <w:ind w:left="1858" w:hanging="420"/>
      </w:pPr>
      <w:rPr>
        <w:rFonts w:ascii="Wingdings" w:hAnsi="Wingdings" w:hint="default"/>
      </w:rPr>
    </w:lvl>
    <w:lvl w:ilvl="4" w:tplc="04090003">
      <w:start w:val="1"/>
      <w:numFmt w:val="bullet"/>
      <w:lvlText w:val=""/>
      <w:lvlJc w:val="left"/>
      <w:pPr>
        <w:tabs>
          <w:tab w:val="num" w:pos="2278"/>
        </w:tabs>
        <w:ind w:left="2278" w:hanging="420"/>
      </w:pPr>
      <w:rPr>
        <w:rFonts w:ascii="Wingdings" w:hAnsi="Wingdings" w:hint="default"/>
      </w:rPr>
    </w:lvl>
    <w:lvl w:ilvl="5" w:tplc="04090005">
      <w:start w:val="1"/>
      <w:numFmt w:val="bullet"/>
      <w:lvlText w:val=""/>
      <w:lvlJc w:val="left"/>
      <w:pPr>
        <w:tabs>
          <w:tab w:val="num" w:pos="2698"/>
        </w:tabs>
        <w:ind w:left="2698" w:hanging="420"/>
      </w:pPr>
      <w:rPr>
        <w:rFonts w:ascii="Wingdings" w:hAnsi="Wingdings" w:hint="default"/>
      </w:rPr>
    </w:lvl>
    <w:lvl w:ilvl="6" w:tplc="04090001">
      <w:start w:val="1"/>
      <w:numFmt w:val="bullet"/>
      <w:lvlText w:val=""/>
      <w:lvlJc w:val="left"/>
      <w:pPr>
        <w:tabs>
          <w:tab w:val="num" w:pos="3118"/>
        </w:tabs>
        <w:ind w:left="3118" w:hanging="420"/>
      </w:pPr>
      <w:rPr>
        <w:rFonts w:ascii="Wingdings" w:hAnsi="Wingdings" w:hint="default"/>
      </w:rPr>
    </w:lvl>
    <w:lvl w:ilvl="7" w:tplc="04090003">
      <w:start w:val="1"/>
      <w:numFmt w:val="bullet"/>
      <w:lvlText w:val=""/>
      <w:lvlJc w:val="left"/>
      <w:pPr>
        <w:tabs>
          <w:tab w:val="num" w:pos="3538"/>
        </w:tabs>
        <w:ind w:left="3538" w:hanging="420"/>
      </w:pPr>
      <w:rPr>
        <w:rFonts w:ascii="Wingdings" w:hAnsi="Wingdings" w:hint="default"/>
      </w:rPr>
    </w:lvl>
    <w:lvl w:ilvl="8" w:tplc="04090005">
      <w:start w:val="1"/>
      <w:numFmt w:val="bullet"/>
      <w:lvlText w:val=""/>
      <w:lvlJc w:val="left"/>
      <w:pPr>
        <w:tabs>
          <w:tab w:val="num" w:pos="3958"/>
        </w:tabs>
        <w:ind w:left="3958" w:hanging="420"/>
      </w:pPr>
      <w:rPr>
        <w:rFonts w:ascii="Wingdings" w:hAnsi="Wingdings" w:hint="default"/>
      </w:rPr>
    </w:lvl>
  </w:abstractNum>
  <w:num w:numId="1" w16cid:durableId="2071808629">
    <w:abstractNumId w:val="2"/>
  </w:num>
  <w:num w:numId="2" w16cid:durableId="36243606">
    <w:abstractNumId w:val="0"/>
  </w:num>
  <w:num w:numId="3" w16cid:durableId="288440182">
    <w:abstractNumId w:val="1"/>
  </w:num>
  <w:num w:numId="4" w16cid:durableId="1631471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508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741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5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B1"/>
    <w:rsid w:val="00010954"/>
    <w:rsid w:val="000237B4"/>
    <w:rsid w:val="0002390A"/>
    <w:rsid w:val="000246A8"/>
    <w:rsid w:val="00034FD6"/>
    <w:rsid w:val="00035BF9"/>
    <w:rsid w:val="00055BA7"/>
    <w:rsid w:val="00063797"/>
    <w:rsid w:val="00075826"/>
    <w:rsid w:val="000772D0"/>
    <w:rsid w:val="00083E8C"/>
    <w:rsid w:val="000968B5"/>
    <w:rsid w:val="00097663"/>
    <w:rsid w:val="000A3E3D"/>
    <w:rsid w:val="000C5175"/>
    <w:rsid w:val="000E4799"/>
    <w:rsid w:val="000F4C14"/>
    <w:rsid w:val="001018F5"/>
    <w:rsid w:val="00105A4A"/>
    <w:rsid w:val="00111981"/>
    <w:rsid w:val="001128B1"/>
    <w:rsid w:val="00113F3F"/>
    <w:rsid w:val="0012333B"/>
    <w:rsid w:val="00133A6D"/>
    <w:rsid w:val="00152BB1"/>
    <w:rsid w:val="0016079E"/>
    <w:rsid w:val="001621E0"/>
    <w:rsid w:val="0016318A"/>
    <w:rsid w:val="00171E77"/>
    <w:rsid w:val="001808DD"/>
    <w:rsid w:val="00191FF8"/>
    <w:rsid w:val="00195B5E"/>
    <w:rsid w:val="001A4495"/>
    <w:rsid w:val="001A576D"/>
    <w:rsid w:val="001A728F"/>
    <w:rsid w:val="001C3D69"/>
    <w:rsid w:val="001C3F9D"/>
    <w:rsid w:val="001C6AE9"/>
    <w:rsid w:val="001D2592"/>
    <w:rsid w:val="001E2114"/>
    <w:rsid w:val="001E4E92"/>
    <w:rsid w:val="001E5BD0"/>
    <w:rsid w:val="001E60C7"/>
    <w:rsid w:val="001F135C"/>
    <w:rsid w:val="0021231B"/>
    <w:rsid w:val="0021444F"/>
    <w:rsid w:val="00227BD7"/>
    <w:rsid w:val="0023237D"/>
    <w:rsid w:val="00235FC9"/>
    <w:rsid w:val="0023786E"/>
    <w:rsid w:val="00243F76"/>
    <w:rsid w:val="00250430"/>
    <w:rsid w:val="002612A2"/>
    <w:rsid w:val="00261CC8"/>
    <w:rsid w:val="00264728"/>
    <w:rsid w:val="00282E41"/>
    <w:rsid w:val="002B1F76"/>
    <w:rsid w:val="002C6106"/>
    <w:rsid w:val="00301E36"/>
    <w:rsid w:val="00304665"/>
    <w:rsid w:val="00310B61"/>
    <w:rsid w:val="0031173C"/>
    <w:rsid w:val="0034661D"/>
    <w:rsid w:val="00346AD0"/>
    <w:rsid w:val="00354691"/>
    <w:rsid w:val="00366C00"/>
    <w:rsid w:val="00396524"/>
    <w:rsid w:val="003A1070"/>
    <w:rsid w:val="003A3CA0"/>
    <w:rsid w:val="003A5B09"/>
    <w:rsid w:val="003B0259"/>
    <w:rsid w:val="003B07EF"/>
    <w:rsid w:val="003B0AB9"/>
    <w:rsid w:val="003E0497"/>
    <w:rsid w:val="003F02A8"/>
    <w:rsid w:val="003F24A2"/>
    <w:rsid w:val="003F4048"/>
    <w:rsid w:val="00410510"/>
    <w:rsid w:val="00421DD5"/>
    <w:rsid w:val="004277CA"/>
    <w:rsid w:val="004477DB"/>
    <w:rsid w:val="00457E16"/>
    <w:rsid w:val="00461414"/>
    <w:rsid w:val="00467E74"/>
    <w:rsid w:val="0047207B"/>
    <w:rsid w:val="00476F81"/>
    <w:rsid w:val="004868E7"/>
    <w:rsid w:val="004A08D7"/>
    <w:rsid w:val="004A2798"/>
    <w:rsid w:val="004A6529"/>
    <w:rsid w:val="004B21AD"/>
    <w:rsid w:val="004E2C2D"/>
    <w:rsid w:val="004E6383"/>
    <w:rsid w:val="004F534C"/>
    <w:rsid w:val="004F60AE"/>
    <w:rsid w:val="005031BD"/>
    <w:rsid w:val="00504319"/>
    <w:rsid w:val="00507C2B"/>
    <w:rsid w:val="0052163F"/>
    <w:rsid w:val="00532C97"/>
    <w:rsid w:val="00545B3A"/>
    <w:rsid w:val="005561E6"/>
    <w:rsid w:val="00571B66"/>
    <w:rsid w:val="00572300"/>
    <w:rsid w:val="00575A4A"/>
    <w:rsid w:val="00584DBC"/>
    <w:rsid w:val="00596991"/>
    <w:rsid w:val="00596E65"/>
    <w:rsid w:val="005B1770"/>
    <w:rsid w:val="005C645D"/>
    <w:rsid w:val="005E49C9"/>
    <w:rsid w:val="005E7F4A"/>
    <w:rsid w:val="005F53FA"/>
    <w:rsid w:val="00613701"/>
    <w:rsid w:val="0061425A"/>
    <w:rsid w:val="0062728E"/>
    <w:rsid w:val="00631A86"/>
    <w:rsid w:val="00641687"/>
    <w:rsid w:val="0064288B"/>
    <w:rsid w:val="006678BC"/>
    <w:rsid w:val="00675DD5"/>
    <w:rsid w:val="0068195A"/>
    <w:rsid w:val="006829F1"/>
    <w:rsid w:val="00685421"/>
    <w:rsid w:val="00692864"/>
    <w:rsid w:val="006C0959"/>
    <w:rsid w:val="006C5BEF"/>
    <w:rsid w:val="006D7970"/>
    <w:rsid w:val="006E0CAF"/>
    <w:rsid w:val="006E7EF4"/>
    <w:rsid w:val="006F4AE5"/>
    <w:rsid w:val="00704B50"/>
    <w:rsid w:val="00710E03"/>
    <w:rsid w:val="007225A6"/>
    <w:rsid w:val="00747AFB"/>
    <w:rsid w:val="00755312"/>
    <w:rsid w:val="00755E03"/>
    <w:rsid w:val="00762FA6"/>
    <w:rsid w:val="00766229"/>
    <w:rsid w:val="00771961"/>
    <w:rsid w:val="00776837"/>
    <w:rsid w:val="0079107F"/>
    <w:rsid w:val="00791E72"/>
    <w:rsid w:val="007A2A80"/>
    <w:rsid w:val="007B30BE"/>
    <w:rsid w:val="007B7509"/>
    <w:rsid w:val="007D2C33"/>
    <w:rsid w:val="007D531C"/>
    <w:rsid w:val="007E1352"/>
    <w:rsid w:val="007F3911"/>
    <w:rsid w:val="008031F2"/>
    <w:rsid w:val="00811B24"/>
    <w:rsid w:val="00822DFF"/>
    <w:rsid w:val="00831F0B"/>
    <w:rsid w:val="008418EE"/>
    <w:rsid w:val="0085625F"/>
    <w:rsid w:val="00862C76"/>
    <w:rsid w:val="0087126E"/>
    <w:rsid w:val="00872E97"/>
    <w:rsid w:val="0087457A"/>
    <w:rsid w:val="00875163"/>
    <w:rsid w:val="008874CF"/>
    <w:rsid w:val="00893439"/>
    <w:rsid w:val="00897E1A"/>
    <w:rsid w:val="008A042C"/>
    <w:rsid w:val="008A1E36"/>
    <w:rsid w:val="008B218E"/>
    <w:rsid w:val="008D0E76"/>
    <w:rsid w:val="008D373E"/>
    <w:rsid w:val="008F0FC1"/>
    <w:rsid w:val="008F3E19"/>
    <w:rsid w:val="009113BD"/>
    <w:rsid w:val="00915C3E"/>
    <w:rsid w:val="00920B8E"/>
    <w:rsid w:val="00960C61"/>
    <w:rsid w:val="00960FB3"/>
    <w:rsid w:val="00962144"/>
    <w:rsid w:val="00971624"/>
    <w:rsid w:val="0097188E"/>
    <w:rsid w:val="009851F7"/>
    <w:rsid w:val="00986997"/>
    <w:rsid w:val="00992BF5"/>
    <w:rsid w:val="009A7E75"/>
    <w:rsid w:val="009D18DE"/>
    <w:rsid w:val="009D37AD"/>
    <w:rsid w:val="009E17EF"/>
    <w:rsid w:val="00A03C00"/>
    <w:rsid w:val="00A17439"/>
    <w:rsid w:val="00A35190"/>
    <w:rsid w:val="00A41320"/>
    <w:rsid w:val="00A422DD"/>
    <w:rsid w:val="00A51771"/>
    <w:rsid w:val="00A54BCB"/>
    <w:rsid w:val="00A60744"/>
    <w:rsid w:val="00A60C64"/>
    <w:rsid w:val="00A85608"/>
    <w:rsid w:val="00AA1454"/>
    <w:rsid w:val="00AA7026"/>
    <w:rsid w:val="00AC1ECE"/>
    <w:rsid w:val="00AD7626"/>
    <w:rsid w:val="00AE38FF"/>
    <w:rsid w:val="00AF1F12"/>
    <w:rsid w:val="00AF53D0"/>
    <w:rsid w:val="00B123FE"/>
    <w:rsid w:val="00B15C94"/>
    <w:rsid w:val="00B178D2"/>
    <w:rsid w:val="00B2179A"/>
    <w:rsid w:val="00B30F9E"/>
    <w:rsid w:val="00B31469"/>
    <w:rsid w:val="00B36D93"/>
    <w:rsid w:val="00B40BEF"/>
    <w:rsid w:val="00B70065"/>
    <w:rsid w:val="00B719E7"/>
    <w:rsid w:val="00B75218"/>
    <w:rsid w:val="00B80C70"/>
    <w:rsid w:val="00B830C4"/>
    <w:rsid w:val="00B863C1"/>
    <w:rsid w:val="00B928F2"/>
    <w:rsid w:val="00BB5D5B"/>
    <w:rsid w:val="00BB78FC"/>
    <w:rsid w:val="00BC2EE7"/>
    <w:rsid w:val="00BC327F"/>
    <w:rsid w:val="00BC78AC"/>
    <w:rsid w:val="00BD17B5"/>
    <w:rsid w:val="00BD3C8F"/>
    <w:rsid w:val="00BE293D"/>
    <w:rsid w:val="00C11AFA"/>
    <w:rsid w:val="00C12A3C"/>
    <w:rsid w:val="00C1312B"/>
    <w:rsid w:val="00C260B6"/>
    <w:rsid w:val="00C32408"/>
    <w:rsid w:val="00C3242C"/>
    <w:rsid w:val="00C500E5"/>
    <w:rsid w:val="00C56B56"/>
    <w:rsid w:val="00C57791"/>
    <w:rsid w:val="00C623F9"/>
    <w:rsid w:val="00C659B3"/>
    <w:rsid w:val="00C72B51"/>
    <w:rsid w:val="00C81AC2"/>
    <w:rsid w:val="00C84826"/>
    <w:rsid w:val="00C95C96"/>
    <w:rsid w:val="00CA547B"/>
    <w:rsid w:val="00CC19F1"/>
    <w:rsid w:val="00CC3B94"/>
    <w:rsid w:val="00CC4730"/>
    <w:rsid w:val="00CC559C"/>
    <w:rsid w:val="00CD4C53"/>
    <w:rsid w:val="00CF42C3"/>
    <w:rsid w:val="00CF4942"/>
    <w:rsid w:val="00D17DE0"/>
    <w:rsid w:val="00D21032"/>
    <w:rsid w:val="00D41870"/>
    <w:rsid w:val="00D5317F"/>
    <w:rsid w:val="00D56DC6"/>
    <w:rsid w:val="00D57BD7"/>
    <w:rsid w:val="00D60D5C"/>
    <w:rsid w:val="00D6334A"/>
    <w:rsid w:val="00D80406"/>
    <w:rsid w:val="00D84F3A"/>
    <w:rsid w:val="00D91A53"/>
    <w:rsid w:val="00D92B20"/>
    <w:rsid w:val="00D957E3"/>
    <w:rsid w:val="00DA0466"/>
    <w:rsid w:val="00DD31EA"/>
    <w:rsid w:val="00DD73CE"/>
    <w:rsid w:val="00DE2BB2"/>
    <w:rsid w:val="00E2327A"/>
    <w:rsid w:val="00E32CD4"/>
    <w:rsid w:val="00E37D99"/>
    <w:rsid w:val="00E47890"/>
    <w:rsid w:val="00E51D3E"/>
    <w:rsid w:val="00E74D0A"/>
    <w:rsid w:val="00E75CA2"/>
    <w:rsid w:val="00E83ECC"/>
    <w:rsid w:val="00E9248B"/>
    <w:rsid w:val="00E96A87"/>
    <w:rsid w:val="00EA4626"/>
    <w:rsid w:val="00EA77FC"/>
    <w:rsid w:val="00EB21C7"/>
    <w:rsid w:val="00ED4FE3"/>
    <w:rsid w:val="00EE06D1"/>
    <w:rsid w:val="00EE6E36"/>
    <w:rsid w:val="00EF0224"/>
    <w:rsid w:val="00EF0F05"/>
    <w:rsid w:val="00EF1AE1"/>
    <w:rsid w:val="00F002DC"/>
    <w:rsid w:val="00F027EA"/>
    <w:rsid w:val="00F26A3C"/>
    <w:rsid w:val="00F31A8E"/>
    <w:rsid w:val="00F4085D"/>
    <w:rsid w:val="00F43DE3"/>
    <w:rsid w:val="00F538AE"/>
    <w:rsid w:val="00F57272"/>
    <w:rsid w:val="00F620AE"/>
    <w:rsid w:val="00F636B6"/>
    <w:rsid w:val="00F63CDC"/>
    <w:rsid w:val="00F70DD8"/>
    <w:rsid w:val="00F70EE2"/>
    <w:rsid w:val="00F77EC0"/>
    <w:rsid w:val="00FA30A2"/>
    <w:rsid w:val="00FC1E6F"/>
    <w:rsid w:val="00FD5E7F"/>
    <w:rsid w:val="00FE263B"/>
    <w:rsid w:val="00FE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FE8A1"/>
  <w15:chartTrackingRefBased/>
  <w15:docId w15:val="{341ECE27-04E0-4288-B083-CCCC5070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178D2"/>
    <w:pPr>
      <w:widowControl w:val="0"/>
      <w:jc w:val="both"/>
    </w:pPr>
    <w:rPr>
      <w:szCs w:val="21"/>
    </w:rPr>
  </w:style>
  <w:style w:type="paragraph" w:styleId="1">
    <w:name w:val="heading 1"/>
    <w:basedOn w:val="a3"/>
    <w:next w:val="a3"/>
    <w:link w:val="10"/>
    <w:uiPriority w:val="9"/>
    <w:qFormat/>
    <w:rsid w:val="007A2A80"/>
    <w:pPr>
      <w:keepNext/>
      <w:keepLines/>
      <w:spacing w:before="340" w:after="330" w:line="578" w:lineRule="auto"/>
      <w:outlineLvl w:val="0"/>
    </w:pPr>
    <w:rPr>
      <w:b/>
      <w:bCs/>
      <w:kern w:val="44"/>
      <w:sz w:val="44"/>
      <w:szCs w:val="44"/>
    </w:rPr>
  </w:style>
  <w:style w:type="paragraph" w:styleId="2">
    <w:name w:val="heading 2"/>
    <w:basedOn w:val="a3"/>
    <w:next w:val="a3"/>
    <w:link w:val="20"/>
    <w:uiPriority w:val="9"/>
    <w:semiHidden/>
    <w:unhideWhenUsed/>
    <w:qFormat/>
    <w:rsid w:val="007A2A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0"/>
    <w:uiPriority w:val="9"/>
    <w:semiHidden/>
    <w:unhideWhenUsed/>
    <w:qFormat/>
    <w:rsid w:val="007A2A80"/>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万联正文"/>
    <w:basedOn w:val="a3"/>
    <w:link w:val="a8"/>
    <w:qFormat/>
    <w:rsid w:val="007F3911"/>
    <w:pPr>
      <w:tabs>
        <w:tab w:val="left" w:pos="720"/>
      </w:tabs>
      <w:autoSpaceDE w:val="0"/>
      <w:autoSpaceDN w:val="0"/>
      <w:adjustRightInd w:val="0"/>
      <w:spacing w:beforeLines="50" w:before="50" w:afterLines="50" w:after="50"/>
      <w:ind w:leftChars="1200" w:left="1200" w:right="17"/>
    </w:pPr>
    <w:rPr>
      <w:rFonts w:ascii="楷体_GB2312" w:eastAsia="楷体_GB2312" w:hAnsi="楷体"/>
    </w:rPr>
  </w:style>
  <w:style w:type="character" w:customStyle="1" w:styleId="a8">
    <w:name w:val="万联正文 字符"/>
    <w:basedOn w:val="a4"/>
    <w:link w:val="a7"/>
    <w:rsid w:val="007F3911"/>
    <w:rPr>
      <w:rFonts w:ascii="楷体_GB2312" w:eastAsia="楷体_GB2312" w:hAnsi="楷体"/>
    </w:rPr>
  </w:style>
  <w:style w:type="paragraph" w:styleId="a9">
    <w:name w:val="header"/>
    <w:basedOn w:val="a3"/>
    <w:link w:val="aa"/>
    <w:uiPriority w:val="99"/>
    <w:unhideWhenUsed/>
    <w:rsid w:val="00B178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4"/>
    <w:link w:val="a9"/>
    <w:uiPriority w:val="99"/>
    <w:rsid w:val="00B178D2"/>
    <w:rPr>
      <w:sz w:val="18"/>
      <w:szCs w:val="18"/>
    </w:rPr>
  </w:style>
  <w:style w:type="paragraph" w:styleId="ab">
    <w:name w:val="footer"/>
    <w:basedOn w:val="a3"/>
    <w:link w:val="ac"/>
    <w:uiPriority w:val="99"/>
    <w:unhideWhenUsed/>
    <w:rsid w:val="00B178D2"/>
    <w:pPr>
      <w:tabs>
        <w:tab w:val="center" w:pos="4153"/>
        <w:tab w:val="right" w:pos="8306"/>
      </w:tabs>
      <w:snapToGrid w:val="0"/>
      <w:jc w:val="left"/>
    </w:pPr>
    <w:rPr>
      <w:sz w:val="18"/>
      <w:szCs w:val="18"/>
    </w:rPr>
  </w:style>
  <w:style w:type="character" w:customStyle="1" w:styleId="ac">
    <w:name w:val="页脚 字符"/>
    <w:basedOn w:val="a4"/>
    <w:link w:val="ab"/>
    <w:uiPriority w:val="99"/>
    <w:rsid w:val="00B178D2"/>
    <w:rPr>
      <w:sz w:val="18"/>
      <w:szCs w:val="18"/>
    </w:rPr>
  </w:style>
  <w:style w:type="table" w:styleId="ad">
    <w:name w:val="Table Grid"/>
    <w:basedOn w:val="a5"/>
    <w:uiPriority w:val="39"/>
    <w:rsid w:val="00B178D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万联一级标题"/>
    <w:basedOn w:val="a3"/>
    <w:next w:val="a7"/>
    <w:qFormat/>
    <w:rsid w:val="003B0AB9"/>
    <w:pPr>
      <w:numPr>
        <w:numId w:val="2"/>
      </w:numPr>
      <w:jc w:val="left"/>
      <w:outlineLvl w:val="0"/>
    </w:pPr>
    <w:rPr>
      <w:rFonts w:ascii="Times New Roman" w:eastAsia="楷体_GB2312" w:hAnsi="Times New Roman"/>
      <w:b/>
      <w:sz w:val="28"/>
    </w:rPr>
  </w:style>
  <w:style w:type="paragraph" w:customStyle="1" w:styleId="a0">
    <w:name w:val="万联二级标题"/>
    <w:basedOn w:val="a3"/>
    <w:next w:val="a7"/>
    <w:qFormat/>
    <w:rsid w:val="003B0AB9"/>
    <w:pPr>
      <w:numPr>
        <w:ilvl w:val="1"/>
        <w:numId w:val="2"/>
      </w:numPr>
      <w:outlineLvl w:val="1"/>
    </w:pPr>
    <w:rPr>
      <w:rFonts w:ascii="Times New Roman" w:eastAsia="楷体_GB2312" w:hAnsi="Times New Roman"/>
      <w:b/>
      <w:sz w:val="24"/>
    </w:rPr>
  </w:style>
  <w:style w:type="paragraph" w:customStyle="1" w:styleId="a1">
    <w:name w:val="万联三级标题"/>
    <w:basedOn w:val="a3"/>
    <w:next w:val="a7"/>
    <w:qFormat/>
    <w:rsid w:val="001C6AE9"/>
    <w:pPr>
      <w:numPr>
        <w:ilvl w:val="2"/>
        <w:numId w:val="2"/>
      </w:numPr>
      <w:ind w:left="2552"/>
      <w:jc w:val="left"/>
      <w:outlineLvl w:val="2"/>
    </w:pPr>
    <w:rPr>
      <w:rFonts w:ascii="Times New Roman" w:eastAsia="楷体_GB2312" w:hAnsi="Times New Roman"/>
      <w:b/>
    </w:rPr>
  </w:style>
  <w:style w:type="paragraph" w:styleId="TOC1">
    <w:name w:val="toc 1"/>
    <w:basedOn w:val="a3"/>
    <w:next w:val="a3"/>
    <w:autoRedefine/>
    <w:uiPriority w:val="39"/>
    <w:unhideWhenUsed/>
    <w:rsid w:val="0023786E"/>
    <w:pPr>
      <w:tabs>
        <w:tab w:val="right" w:leader="dot" w:pos="10194"/>
      </w:tabs>
      <w:ind w:leftChars="1200" w:left="1200"/>
      <w:jc w:val="left"/>
      <w:outlineLvl w:val="2"/>
    </w:pPr>
    <w:rPr>
      <w:rFonts w:ascii="Times New Roman" w:eastAsia="楷体_GB2312" w:hAnsi="Times New Roman"/>
      <w:b/>
    </w:rPr>
  </w:style>
  <w:style w:type="paragraph" w:styleId="TOC2">
    <w:name w:val="toc 2"/>
    <w:basedOn w:val="a3"/>
    <w:next w:val="a3"/>
    <w:autoRedefine/>
    <w:uiPriority w:val="39"/>
    <w:unhideWhenUsed/>
    <w:rsid w:val="0023786E"/>
    <w:pPr>
      <w:tabs>
        <w:tab w:val="right" w:leader="dot" w:pos="10194"/>
      </w:tabs>
      <w:ind w:leftChars="1400" w:left="1400"/>
      <w:jc w:val="left"/>
    </w:pPr>
    <w:rPr>
      <w:rFonts w:ascii="Times New Roman" w:eastAsia="楷体_GB2312" w:hAnsi="Times New Roman"/>
    </w:rPr>
  </w:style>
  <w:style w:type="paragraph" w:styleId="TOC3">
    <w:name w:val="toc 3"/>
    <w:basedOn w:val="a3"/>
    <w:next w:val="a3"/>
    <w:autoRedefine/>
    <w:uiPriority w:val="39"/>
    <w:unhideWhenUsed/>
    <w:rsid w:val="0023786E"/>
    <w:pPr>
      <w:ind w:leftChars="1600" w:left="1600"/>
    </w:pPr>
    <w:rPr>
      <w:rFonts w:ascii="Times New Roman" w:eastAsia="楷体_GB2312" w:hAnsi="Times New Roman"/>
    </w:rPr>
  </w:style>
  <w:style w:type="character" w:styleId="ae">
    <w:name w:val="Hyperlink"/>
    <w:basedOn w:val="a4"/>
    <w:uiPriority w:val="99"/>
    <w:unhideWhenUsed/>
    <w:rsid w:val="003B0AB9"/>
    <w:rPr>
      <w:color w:val="0563C1" w:themeColor="hyperlink"/>
      <w:u w:val="single"/>
    </w:rPr>
  </w:style>
  <w:style w:type="paragraph" w:customStyle="1" w:styleId="a2">
    <w:name w:val="万联图表标题"/>
    <w:basedOn w:val="a3"/>
    <w:next w:val="a7"/>
    <w:link w:val="af"/>
    <w:qFormat/>
    <w:rsid w:val="003B0AB9"/>
    <w:pPr>
      <w:numPr>
        <w:numId w:val="3"/>
      </w:numPr>
      <w:tabs>
        <w:tab w:val="left" w:pos="720"/>
      </w:tabs>
      <w:autoSpaceDE w:val="0"/>
      <w:autoSpaceDN w:val="0"/>
      <w:adjustRightInd w:val="0"/>
      <w:ind w:right="18"/>
      <w:jc w:val="left"/>
    </w:pPr>
    <w:rPr>
      <w:rFonts w:ascii="Times New Roman" w:eastAsia="楷体_GB2312" w:hAnsi="Times New Roman"/>
      <w:color w:val="000000"/>
    </w:rPr>
  </w:style>
  <w:style w:type="character" w:customStyle="1" w:styleId="af">
    <w:name w:val="万联图表标题 字符"/>
    <w:basedOn w:val="a4"/>
    <w:link w:val="a2"/>
    <w:rsid w:val="003B0AB9"/>
    <w:rPr>
      <w:rFonts w:ascii="Times New Roman" w:eastAsia="楷体_GB2312" w:hAnsi="Times New Roman"/>
      <w:color w:val="000000"/>
    </w:rPr>
  </w:style>
  <w:style w:type="paragraph" w:styleId="TOC9">
    <w:name w:val="toc 9"/>
    <w:basedOn w:val="a3"/>
    <w:next w:val="a3"/>
    <w:autoRedefine/>
    <w:uiPriority w:val="39"/>
    <w:unhideWhenUsed/>
    <w:rsid w:val="003B0AB9"/>
    <w:pPr>
      <w:ind w:leftChars="1200" w:left="1200"/>
    </w:pPr>
    <w:rPr>
      <w:rFonts w:ascii="Times New Roman" w:eastAsia="楷体_GB2312" w:hAnsi="Times New Roman"/>
    </w:rPr>
  </w:style>
  <w:style w:type="character" w:styleId="af0">
    <w:name w:val="Placeholder Text"/>
    <w:basedOn w:val="a4"/>
    <w:uiPriority w:val="99"/>
    <w:semiHidden/>
    <w:rsid w:val="006C0959"/>
    <w:rPr>
      <w:color w:val="808080"/>
    </w:rPr>
  </w:style>
  <w:style w:type="character" w:customStyle="1" w:styleId="30">
    <w:name w:val="标题 3 字符"/>
    <w:basedOn w:val="a4"/>
    <w:link w:val="3"/>
    <w:uiPriority w:val="9"/>
    <w:semiHidden/>
    <w:rsid w:val="007A2A80"/>
    <w:rPr>
      <w:b/>
      <w:bCs/>
      <w:sz w:val="32"/>
      <w:szCs w:val="32"/>
    </w:rPr>
  </w:style>
  <w:style w:type="character" w:customStyle="1" w:styleId="20">
    <w:name w:val="标题 2 字符"/>
    <w:basedOn w:val="a4"/>
    <w:link w:val="2"/>
    <w:uiPriority w:val="9"/>
    <w:semiHidden/>
    <w:rsid w:val="007A2A80"/>
    <w:rPr>
      <w:rFonts w:asciiTheme="majorHAnsi" w:eastAsiaTheme="majorEastAsia" w:hAnsiTheme="majorHAnsi" w:cstheme="majorBidi"/>
      <w:b/>
      <w:bCs/>
      <w:sz w:val="32"/>
      <w:szCs w:val="32"/>
    </w:rPr>
  </w:style>
  <w:style w:type="character" w:customStyle="1" w:styleId="10">
    <w:name w:val="标题 1 字符"/>
    <w:basedOn w:val="a4"/>
    <w:link w:val="1"/>
    <w:uiPriority w:val="9"/>
    <w:rsid w:val="007A2A80"/>
    <w:rPr>
      <w:b/>
      <w:bCs/>
      <w:kern w:val="44"/>
      <w:sz w:val="44"/>
      <w:szCs w:val="44"/>
    </w:rPr>
  </w:style>
  <w:style w:type="character" w:styleId="af1">
    <w:name w:val="annotation reference"/>
    <w:basedOn w:val="a4"/>
    <w:uiPriority w:val="99"/>
    <w:semiHidden/>
    <w:unhideWhenUsed/>
    <w:rsid w:val="00D5317F"/>
    <w:rPr>
      <w:sz w:val="21"/>
      <w:szCs w:val="21"/>
    </w:rPr>
  </w:style>
  <w:style w:type="paragraph" w:styleId="af2">
    <w:name w:val="annotation text"/>
    <w:basedOn w:val="a3"/>
    <w:link w:val="af3"/>
    <w:uiPriority w:val="99"/>
    <w:unhideWhenUsed/>
    <w:rsid w:val="00D5317F"/>
    <w:pPr>
      <w:jc w:val="left"/>
    </w:pPr>
  </w:style>
  <w:style w:type="character" w:customStyle="1" w:styleId="af3">
    <w:name w:val="批注文字 字符"/>
    <w:basedOn w:val="a4"/>
    <w:link w:val="af2"/>
    <w:uiPriority w:val="99"/>
    <w:rsid w:val="00D5317F"/>
  </w:style>
  <w:style w:type="paragraph" w:styleId="af4">
    <w:name w:val="annotation subject"/>
    <w:basedOn w:val="af2"/>
    <w:next w:val="af2"/>
    <w:link w:val="af5"/>
    <w:uiPriority w:val="99"/>
    <w:semiHidden/>
    <w:unhideWhenUsed/>
    <w:rsid w:val="00D5317F"/>
    <w:rPr>
      <w:b/>
      <w:bCs/>
    </w:rPr>
  </w:style>
  <w:style w:type="character" w:customStyle="1" w:styleId="af5">
    <w:name w:val="批注主题 字符"/>
    <w:basedOn w:val="af3"/>
    <w:link w:val="af4"/>
    <w:uiPriority w:val="99"/>
    <w:semiHidden/>
    <w:rsid w:val="00D5317F"/>
    <w:rPr>
      <w:b/>
      <w:bCs/>
    </w:rPr>
  </w:style>
  <w:style w:type="table" w:styleId="11">
    <w:name w:val="Plain Table 1"/>
    <w:basedOn w:val="a5"/>
    <w:uiPriority w:val="41"/>
    <w:rsid w:val="00B178D2"/>
    <w:rPr>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6">
    <w:name w:val="万联证券粉色普通表格"/>
    <w:basedOn w:val="a5"/>
    <w:uiPriority w:val="99"/>
    <w:rsid w:val="00B178D2"/>
    <w:pPr>
      <w:jc w:val="center"/>
    </w:pPr>
    <w:rPr>
      <w:rFonts w:ascii="Times New Roman" w:eastAsia="楷体_GB2312" w:hAnsi="Times New Roman"/>
      <w:szCs w:val="21"/>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tblStylePr w:type="firstRow">
      <w:pPr>
        <w:wordWrap/>
        <w:jc w:val="center"/>
      </w:pPr>
      <w:rPr>
        <w:rFonts w:ascii="Times New Roman" w:eastAsia="楷体_GB2312" w:hAnsi="Times New Roman"/>
        <w:sz w:val="21"/>
      </w:rPr>
      <w:tblPr/>
      <w:tcPr>
        <w:tcBorders>
          <w:top w:val="nil"/>
          <w:left w:val="nil"/>
          <w:bottom w:val="nil"/>
          <w:right w:val="nil"/>
          <w:insideH w:val="nil"/>
          <w:insideV w:val="nil"/>
          <w:tl2br w:val="nil"/>
          <w:tr2bl w:val="nil"/>
        </w:tcBorders>
        <w:shd w:val="clear" w:color="auto" w:fill="800000"/>
      </w:tcPr>
    </w:tblStylePr>
    <w:tblStylePr w:type="firstCol">
      <w:rPr>
        <w:rFonts w:ascii="楷体_GB2312" w:hAnsi="楷体_GB2312"/>
        <w:sz w:val="21"/>
      </w:rPr>
    </w:tblStylePr>
    <w:tblStylePr w:type="band1Vert">
      <w:pPr>
        <w:jc w:val="center"/>
      </w:pPr>
    </w:tblStylePr>
    <w:tblStylePr w:type="band2Vert">
      <w:pPr>
        <w:jc w:val="center"/>
      </w:pPr>
    </w:tblStylePr>
    <w:tblStylePr w:type="band1Horz">
      <w:pPr>
        <w:jc w:val="center"/>
      </w:pPr>
      <w:rPr>
        <w:rFonts w:ascii="Times New Roman" w:eastAsia="楷体_GB2312" w:hAnsi="Times New Roman"/>
        <w:sz w:val="21"/>
      </w:rPr>
      <w:tblPr/>
      <w:tcPr>
        <w:tcBorders>
          <w:top w:val="nil"/>
          <w:left w:val="nil"/>
          <w:bottom w:val="nil"/>
          <w:right w:val="nil"/>
          <w:insideH w:val="nil"/>
          <w:insideV w:val="nil"/>
          <w:tl2br w:val="nil"/>
          <w:tr2bl w:val="nil"/>
        </w:tcBorders>
      </w:tcPr>
    </w:tblStylePr>
    <w:tblStylePr w:type="band2Horz">
      <w:pPr>
        <w:jc w:val="center"/>
      </w:pPr>
      <w:rPr>
        <w:rFonts w:ascii="Times New Roman" w:eastAsia="楷体_GB2312" w:hAnsi="Times New Roman"/>
        <w:sz w:val="21"/>
      </w:rPr>
      <w:tblPr/>
      <w:tcPr>
        <w:tcBorders>
          <w:top w:val="single" w:sz="4" w:space="0" w:color="auto"/>
          <w:left w:val="nil"/>
          <w:bottom w:val="single" w:sz="4" w:space="0" w:color="auto"/>
          <w:right w:val="nil"/>
          <w:insideH w:val="nil"/>
          <w:insideV w:val="nil"/>
          <w:tl2br w:val="nil"/>
          <w:tr2bl w:val="nil"/>
        </w:tcBorders>
        <w:shd w:val="clear" w:color="auto" w:fill="FFE7E7"/>
      </w:tcPr>
    </w:tblStylePr>
  </w:style>
  <w:style w:type="table" w:styleId="4-3">
    <w:name w:val="List Table 4 Accent 3"/>
    <w:aliases w:val="万联证券表格灰色"/>
    <w:basedOn w:val="a5"/>
    <w:uiPriority w:val="49"/>
    <w:rsid w:val="00B178D2"/>
    <w:rPr>
      <w:rFonts w:ascii="Times New Roman" w:eastAsia="楷体_GB2312" w:hAnsi="Times New Roman"/>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shd w:val="clear" w:color="auto" w:fill="800000"/>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af7">
    <w:name w:val="万联证券灰色普通表格"/>
    <w:basedOn w:val="a5"/>
    <w:uiPriority w:val="99"/>
    <w:rsid w:val="00B178D2"/>
    <w:pPr>
      <w:jc w:val="center"/>
    </w:pPr>
    <w:rPr>
      <w:rFonts w:ascii="Times New Roman" w:eastAsia="楷体_GB2312" w:hAnsi="Times New Roman"/>
      <w:szCs w:val="21"/>
    </w:rPr>
    <w:tblPr>
      <w:tblStyleRowBandSize w:val="1"/>
      <w:tblStyleColBandSize w:val="1"/>
      <w:tblBorders>
        <w:bottom w:val="single" w:sz="4" w:space="0" w:color="auto"/>
      </w:tblBorders>
    </w:tblPr>
    <w:tcPr>
      <w:vAlign w:val="bottom"/>
    </w:tcPr>
    <w:tblStylePr w:type="firstRow">
      <w:rPr>
        <w:rFonts w:ascii="Times New Roman" w:eastAsia="楷体_GB2312" w:hAnsi="Times New Roman"/>
        <w:sz w:val="21"/>
      </w:rPr>
      <w:tblPr/>
      <w:tcPr>
        <w:tcBorders>
          <w:top w:val="single" w:sz="4" w:space="0" w:color="auto"/>
          <w:bottom w:val="nil"/>
        </w:tcBorders>
        <w:shd w:val="clear" w:color="auto" w:fill="800000"/>
      </w:tcPr>
    </w:tblStylePr>
    <w:tblStylePr w:type="firstCol">
      <w:rPr>
        <w:rFonts w:ascii="楷体_GB2312" w:hAnsi="楷体_GB2312"/>
        <w:sz w:val="21"/>
      </w:rPr>
    </w:tblStylePr>
    <w:tblStylePr w:type="band1Horz">
      <w:tblPr/>
      <w:tcPr>
        <w:tcBorders>
          <w:bottom w:val="single" w:sz="4" w:space="0" w:color="auto"/>
        </w:tcBorders>
      </w:tcPr>
    </w:tblStylePr>
    <w:tblStylePr w:type="band2Horz">
      <w:rPr>
        <w:rFonts w:ascii="Times New Roman" w:eastAsia="楷体_GB2312" w:hAnsi="Times New Roman"/>
        <w:sz w:val="21"/>
      </w:rPr>
      <w:tblPr/>
      <w:tcPr>
        <w:tcBorders>
          <w:top w:val="nil"/>
          <w:left w:val="nil"/>
          <w:bottom w:val="single" w:sz="4" w:space="0" w:color="auto"/>
          <w:right w:val="nil"/>
          <w:insideH w:val="nil"/>
          <w:insideV w:val="nil"/>
          <w:tl2br w:val="nil"/>
          <w:tr2bl w:val="nil"/>
        </w:tcBorders>
        <w:shd w:val="clear" w:color="auto" w:fill="E7E6E6" w:themeFill="background2"/>
      </w:tcPr>
    </w:tblStylePr>
  </w:style>
  <w:style w:type="paragraph" w:styleId="af8">
    <w:name w:val="List Paragraph"/>
    <w:basedOn w:val="a3"/>
    <w:uiPriority w:val="34"/>
    <w:qFormat/>
    <w:rsid w:val="000758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83BD5C8B064472BDB7AC31A206B70A"/>
        <w:category>
          <w:name w:val="常规"/>
          <w:gallery w:val="placeholder"/>
        </w:category>
        <w:types>
          <w:type w:val="bbPlcHdr"/>
        </w:types>
        <w:behaviors>
          <w:behavior w:val="content"/>
        </w:behaviors>
        <w:guid w:val="{58E6EECA-0F3F-442B-AB28-A84B3F87CBB2}"/>
      </w:docPartPr>
      <w:docPartBody>
        <w:p w:rsidR="00DE41A5" w:rsidRDefault="00223061" w:rsidP="00223061">
          <w:pPr>
            <w:pStyle w:val="C083BD5C8B064472BDB7AC31A206B70A"/>
          </w:pPr>
          <w:r w:rsidRPr="006A7F89">
            <w:rPr>
              <w:rStyle w:val="a3"/>
            </w:rPr>
            <w:t>单击或点击此处输入文字。</w:t>
          </w:r>
        </w:p>
      </w:docPartBody>
    </w:docPart>
    <w:docPart>
      <w:docPartPr>
        <w:name w:val="DefaultPlaceholder_-1854013440"/>
        <w:category>
          <w:name w:val="常规"/>
          <w:gallery w:val="placeholder"/>
        </w:category>
        <w:types>
          <w:type w:val="bbPlcHdr"/>
        </w:types>
        <w:behaviors>
          <w:behavior w:val="content"/>
        </w:behaviors>
        <w:guid w:val="{8700C464-C238-42D9-B8CB-C8FFCC3D7511}"/>
      </w:docPartPr>
      <w:docPartBody>
        <w:p w:rsidR="00C71667" w:rsidRDefault="00DE41A5">
          <w:r w:rsidRPr="00283C8F">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61"/>
    <w:rsid w:val="00041A35"/>
    <w:rsid w:val="000B0861"/>
    <w:rsid w:val="000B3C66"/>
    <w:rsid w:val="001670EB"/>
    <w:rsid w:val="001C6336"/>
    <w:rsid w:val="002005CC"/>
    <w:rsid w:val="00223061"/>
    <w:rsid w:val="00265027"/>
    <w:rsid w:val="002B1001"/>
    <w:rsid w:val="003F17BA"/>
    <w:rsid w:val="00472347"/>
    <w:rsid w:val="00476C11"/>
    <w:rsid w:val="004C0302"/>
    <w:rsid w:val="005022D9"/>
    <w:rsid w:val="005E3520"/>
    <w:rsid w:val="005F6684"/>
    <w:rsid w:val="00690DA2"/>
    <w:rsid w:val="006C712B"/>
    <w:rsid w:val="00882973"/>
    <w:rsid w:val="00924EFE"/>
    <w:rsid w:val="00A610F8"/>
    <w:rsid w:val="00A82872"/>
    <w:rsid w:val="00BA1C13"/>
    <w:rsid w:val="00BC760F"/>
    <w:rsid w:val="00BD4BFB"/>
    <w:rsid w:val="00C71667"/>
    <w:rsid w:val="00C77BDF"/>
    <w:rsid w:val="00D7342C"/>
    <w:rsid w:val="00DC4782"/>
    <w:rsid w:val="00DD1F2A"/>
    <w:rsid w:val="00DE41A5"/>
    <w:rsid w:val="00EA5D72"/>
    <w:rsid w:val="00EC4CB0"/>
    <w:rsid w:val="00FD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1A5"/>
    <w:rPr>
      <w:color w:val="808080"/>
    </w:rPr>
  </w:style>
  <w:style w:type="paragraph" w:customStyle="1" w:styleId="C083BD5C8B064472BDB7AC31A206B70A">
    <w:name w:val="C083BD5C8B064472BDB7AC31A206B70A"/>
    <w:rsid w:val="002230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Arial"/>
        <a:ea typeface="楷体_GB2312"/>
        <a:cs typeface=""/>
      </a:majorFont>
      <a:minorFont>
        <a:latin typeface="Arial"/>
        <a:ea typeface="楷体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4202-630D-426C-85C9-3B76C2E7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dc:creator>
  <cp:lastModifiedBy>huijing gong</cp:lastModifiedBy>
  <cp:revision>309</cp:revision>
  <cp:lastPrinted>2024-04-13T11:18:00Z</cp:lastPrinted>
  <dcterms:created xsi:type="dcterms:W3CDTF">2020-12-25T07:05:00Z</dcterms:created>
  <dcterms:modified xsi:type="dcterms:W3CDTF">2024-04-13T11:19:00Z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nkdocver">
    <vt:lpwstr>1.1</vt:lpwstr>
  </property>
  <property fmtid="{D5CDD505-2E9C-101B-9397-08002B2CF9AE}" pid="3" name="snkdocid">
    <vt:lpwstr>1348454747509624834</vt:lpwstr>
  </property>
  <property fmtid="{D5CDD505-2E9C-101B-9397-08002B2CF9AE}" pid="4" name="WSURL">
    <vt:lpwstr>http://172.17.2.142/</vt:lpwstr>
  </property>
  <property fmtid="{D5CDD505-2E9C-101B-9397-08002B2CF9AE}" pid="5" name="doctypeid">
    <vt:lpwstr>188</vt:lpwstr>
  </property>
  <property fmtid="{D5CDD505-2E9C-101B-9397-08002B2CF9AE}" pid="6" name="doctypename">
    <vt:lpwstr>策略跟踪报告</vt:lpwstr>
  </property>
  <property fmtid="{D5CDD505-2E9C-101B-9397-08002B2CF9AE}" pid="7" name="templateid">
    <vt:lpwstr>1348454747509624834</vt:lpwstr>
  </property>
  <property fmtid="{D5CDD505-2E9C-101B-9397-08002B2CF9AE}" pid="8" name="templatetype">
    <vt:lpwstr>1002</vt:lpwstr>
  </property>
  <property fmtid="{D5CDD505-2E9C-101B-9397-08002B2CF9AE}" pid="9" name="loadTime">
    <vt:lpwstr>20240126163159</vt:lpwstr>
  </property>
  <property fmtid="{D5CDD505-2E9C-101B-9397-08002B2CF9AE}" pid="10" name="uuid">
    <vt:lpwstr>86a959f4dd42889e457471e3bdd19257</vt:lpwstr>
  </property>
  <property fmtid="{D5CDD505-2E9C-101B-9397-08002B2CF9AE}" pid="11" name="username">
    <vt:lpwstr>gonghj</vt:lpwstr>
  </property>
  <property fmtid="{D5CDD505-2E9C-101B-9397-08002B2CF9AE}" pid="12" name="authorid">
    <vt:lpwstr>416</vt:lpwstr>
  </property>
  <property fmtid="{D5CDD505-2E9C-101B-9397-08002B2CF9AE}" pid="13" name="date">
    <vt:lpwstr>2024.04.13</vt:lpwstr>
  </property>
  <property fmtid="{D5CDD505-2E9C-101B-9397-08002B2CF9AE}" pid="14" name="firstauthorid">
    <vt:lpwstr>416</vt:lpwstr>
  </property>
  <property fmtid="{D5CDD505-2E9C-101B-9397-08002B2CF9AE}" pid="15" name="contactname">
    <vt:lpwstr/>
  </property>
  <property fmtid="{D5CDD505-2E9C-101B-9397-08002B2CF9AE}" pid="16" name="qualityno">
    <vt:lpwstr>S0270524010001</vt:lpwstr>
  </property>
  <property fmtid="{D5CDD505-2E9C-101B-9397-08002B2CF9AE}" pid="17" name="contactid">
    <vt:lpwstr/>
  </property>
  <property fmtid="{D5CDD505-2E9C-101B-9397-08002B2CF9AE}" pid="18" name="authorname">
    <vt:lpwstr>宫慧菁</vt:lpwstr>
  </property>
  <property fmtid="{D5CDD505-2E9C-101B-9397-08002B2CF9AE}" pid="19" name="IsUpdateBefCheckLaw">
    <vt:lpwstr>true</vt:lpwstr>
  </property>
</Properties>
</file>