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386BC" w14:textId="77777777" w:rsidR="004634C9" w:rsidRDefault="00000000">
      <w:pPr>
        <w:pStyle w:val="a3"/>
        <w:rPr>
          <w:rFonts w:ascii="Times New Roman"/>
          <w:sz w:val="20"/>
        </w:rPr>
      </w:pPr>
      <w:r>
        <w:pict w14:anchorId="43DBC66C">
          <v:group id="_x0000_s2265" style="position:absolute;margin-left:0;margin-top:0;width:960pt;height:537.85pt;z-index:-253431808;mso-position-horizontal-relative:page;mso-position-vertical-relative:page" coordsize="19200,10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7" type="#_x0000_t75" style="position:absolute;width:19200;height:10757">
              <v:imagedata r:id="rId7" o:title=""/>
            </v:shape>
            <v:shape id="_x0000_s2266" type="#_x0000_t75" style="position:absolute;left:15612;top:556;width:2948;height:579">
              <v:imagedata r:id="rId8" o:title=""/>
            </v:shape>
            <w10:wrap anchorx="page" anchory="page"/>
          </v:group>
        </w:pict>
      </w:r>
    </w:p>
    <w:p w14:paraId="2D74C3DF" w14:textId="77777777" w:rsidR="004634C9" w:rsidRDefault="004634C9">
      <w:pPr>
        <w:pStyle w:val="a3"/>
        <w:rPr>
          <w:rFonts w:ascii="Times New Roman"/>
          <w:sz w:val="20"/>
        </w:rPr>
      </w:pPr>
    </w:p>
    <w:p w14:paraId="738B193A" w14:textId="77777777" w:rsidR="004634C9" w:rsidRDefault="004634C9">
      <w:pPr>
        <w:pStyle w:val="a3"/>
        <w:rPr>
          <w:rFonts w:ascii="Times New Roman"/>
          <w:sz w:val="20"/>
        </w:rPr>
      </w:pPr>
    </w:p>
    <w:p w14:paraId="3A53B065" w14:textId="77777777" w:rsidR="004634C9" w:rsidRDefault="004634C9">
      <w:pPr>
        <w:pStyle w:val="a3"/>
        <w:rPr>
          <w:rFonts w:ascii="Times New Roman"/>
          <w:sz w:val="20"/>
        </w:rPr>
      </w:pPr>
    </w:p>
    <w:p w14:paraId="37A2E2F1" w14:textId="77777777" w:rsidR="004634C9" w:rsidRDefault="004634C9">
      <w:pPr>
        <w:pStyle w:val="a3"/>
        <w:rPr>
          <w:rFonts w:ascii="Times New Roman"/>
          <w:sz w:val="20"/>
        </w:rPr>
      </w:pPr>
    </w:p>
    <w:p w14:paraId="7EE8FFA1" w14:textId="77777777" w:rsidR="004634C9" w:rsidRDefault="004634C9">
      <w:pPr>
        <w:pStyle w:val="a3"/>
        <w:rPr>
          <w:rFonts w:ascii="Times New Roman"/>
          <w:sz w:val="20"/>
        </w:rPr>
      </w:pPr>
    </w:p>
    <w:p w14:paraId="4BA3B9A6" w14:textId="77777777" w:rsidR="004634C9" w:rsidRDefault="004634C9">
      <w:pPr>
        <w:pStyle w:val="a3"/>
        <w:rPr>
          <w:rFonts w:ascii="Times New Roman"/>
          <w:sz w:val="20"/>
        </w:rPr>
      </w:pPr>
    </w:p>
    <w:p w14:paraId="63160060" w14:textId="77777777" w:rsidR="004634C9" w:rsidRDefault="004634C9">
      <w:pPr>
        <w:pStyle w:val="a3"/>
        <w:rPr>
          <w:rFonts w:ascii="Times New Roman"/>
          <w:sz w:val="20"/>
        </w:rPr>
      </w:pPr>
    </w:p>
    <w:p w14:paraId="5E19525E" w14:textId="77777777" w:rsidR="004634C9" w:rsidRDefault="004634C9">
      <w:pPr>
        <w:pStyle w:val="a3"/>
        <w:rPr>
          <w:rFonts w:ascii="Times New Roman"/>
          <w:sz w:val="20"/>
        </w:rPr>
      </w:pPr>
    </w:p>
    <w:p w14:paraId="0C79C4C8" w14:textId="77777777" w:rsidR="004634C9" w:rsidRDefault="004634C9">
      <w:pPr>
        <w:pStyle w:val="a3"/>
        <w:rPr>
          <w:rFonts w:ascii="Times New Roman"/>
          <w:sz w:val="20"/>
        </w:rPr>
      </w:pPr>
    </w:p>
    <w:p w14:paraId="367EDDF6" w14:textId="77777777" w:rsidR="004634C9" w:rsidRDefault="004634C9">
      <w:pPr>
        <w:pStyle w:val="a3"/>
        <w:rPr>
          <w:rFonts w:ascii="Times New Roman"/>
          <w:sz w:val="20"/>
        </w:rPr>
      </w:pPr>
    </w:p>
    <w:p w14:paraId="3C15EDC6" w14:textId="77777777" w:rsidR="004634C9" w:rsidRDefault="004634C9">
      <w:pPr>
        <w:pStyle w:val="a3"/>
        <w:spacing w:before="7"/>
        <w:rPr>
          <w:rFonts w:ascii="Times New Roman"/>
          <w:sz w:val="15"/>
        </w:rPr>
      </w:pPr>
    </w:p>
    <w:p w14:paraId="304FA2BE" w14:textId="77777777" w:rsidR="004634C9" w:rsidRPr="00252974" w:rsidRDefault="00000000">
      <w:pPr>
        <w:spacing w:line="1365" w:lineRule="exact"/>
        <w:ind w:left="1323"/>
        <w:rPr>
          <w:b/>
          <w:iCs/>
          <w:sz w:val="80"/>
        </w:rPr>
      </w:pPr>
      <w:bookmarkStart w:id="0" w:name="幻灯片_1"/>
      <w:bookmarkEnd w:id="0"/>
      <w:r w:rsidRPr="00252974">
        <w:rPr>
          <w:b/>
          <w:iCs/>
          <w:color w:val="FFFFFF"/>
          <w:sz w:val="80"/>
        </w:rPr>
        <w:t>新“国九条”及系列配套政策解读</w:t>
      </w:r>
    </w:p>
    <w:p w14:paraId="7A231661" w14:textId="77777777" w:rsidR="004634C9" w:rsidRPr="00252974" w:rsidRDefault="00000000">
      <w:pPr>
        <w:spacing w:before="22"/>
        <w:ind w:left="4558"/>
        <w:rPr>
          <w:b/>
          <w:sz w:val="72"/>
        </w:rPr>
      </w:pPr>
      <w:r w:rsidRPr="00252974">
        <w:rPr>
          <w:b/>
          <w:color w:val="FFFFFF"/>
          <w:sz w:val="72"/>
        </w:rPr>
        <w:t>2024年5月24日</w:t>
      </w:r>
    </w:p>
    <w:p w14:paraId="2F1E92C2" w14:textId="77777777" w:rsidR="004634C9" w:rsidRDefault="004634C9">
      <w:pPr>
        <w:pStyle w:val="a3"/>
        <w:spacing w:before="8"/>
        <w:rPr>
          <w:b/>
          <w:i/>
          <w:sz w:val="64"/>
        </w:rPr>
      </w:pPr>
    </w:p>
    <w:p w14:paraId="2CA886D4" w14:textId="77777777" w:rsidR="004634C9" w:rsidRDefault="004634C9">
      <w:pPr>
        <w:sectPr w:rsidR="004634C9">
          <w:type w:val="continuous"/>
          <w:pgSz w:w="19200" w:h="10800" w:orient="landscape"/>
          <w:pgMar w:top="1000" w:right="0" w:bottom="280" w:left="0" w:header="720" w:footer="720" w:gutter="0"/>
          <w:cols w:space="720"/>
        </w:sectPr>
      </w:pPr>
    </w:p>
    <w:p w14:paraId="58494B34" w14:textId="77777777" w:rsidR="004634C9" w:rsidRDefault="00000000">
      <w:pPr>
        <w:pStyle w:val="a3"/>
        <w:rPr>
          <w:b/>
          <w:i/>
          <w:sz w:val="20"/>
        </w:rPr>
      </w:pPr>
      <w:r>
        <w:lastRenderedPageBreak/>
        <w:pict w14:anchorId="6157F799">
          <v:shape id="_x0000_s2264" style="position:absolute;margin-left:90.75pt;margin-top:31.45pt;width:79.5pt;height:19.6pt;z-index:251659264;mso-position-horizontal-relative:page;mso-position-vertical-relative:page" coordorigin="1815,629" coordsize="1590,392" o:spt="100" adj="0,,0" path="m2199,951r-384,l1815,1004r384,l2199,951xm2037,878r-60,l1977,951r60,l2037,878xm2160,827r-303,l1857,878r303,l2160,827xm2037,756r-60,l1977,827r60,l2037,756xm2178,705r-340,l1838,756r340,l2178,705xm2014,629r-54,25l1968,666r8,13l1983,692r7,13l2011,705r38,-18l2040,671r-9,-14l2023,643r-9,-14xm2358,899r-59,l2291,908r-8,10l2275,927r-9,10l2287,941r23,5l2333,952r25,6l2329,964r-32,5l2263,973r-38,2l2231,987r5,12l2240,1010r3,11l2296,1015r48,-9l2388,993r39,-15l2581,978r2,-5l2478,947r14,-11l2494,934r-71,l2400,929r-21,-5l2360,920r-17,-3l2348,911r5,-6l2358,899xm2581,978r-154,l2458,987r32,11l2524,1009r35,12l2581,978xm2527,899r-60,l2458,909r-10,9l2436,926r-13,8l2494,934r10,-10l2516,912r11,-13xm2601,857r-387,l2214,899r387,l2601,857xm2402,831r-56,l2341,840r-6,8l2329,857r57,l2392,849r5,-9l2402,831xm2582,716r-349,l2233,831r349,l2582,791r-299,l2283,756r299,l2582,716xm2382,756r-47,l2335,791r47,l2382,756xm2481,756r-47,l2434,791r47,l2481,756xm2582,756r-49,l2533,791r49,l2582,756xm2382,689r-47,l2335,716r47,l2382,689xm2481,689r-47,l2434,716r47,l2481,689xm2595,648r-374,l2221,689r374,l2595,648xm2979,694r-340,l2639,1017r53,l2692,745r287,l2979,694xm2844,962r4,14l2851,989r2,13l2856,1013r21,1l2896,1014r17,-1l2927,1012r12,-2l2949,1007r9,-6l2966,994r6,-8l2976,976r2,-12l2895,964r-13,l2870,964r-13,-1l2844,962xm2979,745r-53,l2926,945r-1,6l2923,955r-3,4l2918,961r-4,1l2910,963r-6,1l2978,964r1,-2l2979,951r,-206xm2835,745r-52,l2775,784r-17,35l2731,851r-37,27l2704,887r10,10l2724,907r10,12l2758,902r20,-19l2795,864r14,-21l2886,843r-14,-11l2849,815r-21,-16l2830,787r2,-13l2833,760r2,-15xm2886,843r-77,l2832,864r20,18l2870,899r14,14l2923,874r-26,-22l2886,843xm2837,631r-52,l2785,648r,16l2785,679r-1,15l2836,694r,-15l2836,664r1,-33xm3388,901r-308,l3080,1020r51,l3131,1000r209,l3340,956r-209,l3131,911r209,l3340,902r48,l3388,901xm3340,1000r-51,l3289,1020r51,l3340,1000xm3340,911r-51,l3289,956r51,l3340,911xm3241,771r-50,l3153,803r-41,28l3066,854r-51,18l3023,884r6,12l3035,907r5,11l3050,914r10,-4l3070,906r10,-5l3388,901r4,-7l3398,882r7,-13l3398,867r-256,l3161,854r18,-13l3195,827r15,-14l3280,813r-7,-4l3236,778r5,-7xm3388,902r-48,l3350,906r10,5l3370,914r10,4l3386,906r2,-4xm3280,813r-70,l3224,828r16,14l3257,855r18,12l3398,867r-41,-13l3313,834r-33,-21xm3259,720r-25,35l3268,774r32,18l3330,810r29,19l3386,784r-32,-17l3322,751r-32,-16l3259,720xm3158,717r-30,19l3097,753r-31,16l3033,783r9,13l3049,808r6,10l3060,827r36,-18l3130,791r31,-19l3189,753r-31,-36xm3388,668r-357,l3031,753r57,l3088,713r300,l3388,668xm3388,713r-57,l3331,753r57,l3388,713xm3233,632r-64,8l3172,647r4,10l3181,668r67,l3242,653r-5,-12l3233,632xe" fillcolor="#0d0d0d" stroked="f">
            <v:stroke joinstyle="round"/>
            <v:formulas/>
            <v:path arrowok="t" o:connecttype="segments"/>
            <w10:wrap anchorx="page" anchory="page"/>
          </v:shape>
        </w:pict>
      </w:r>
    </w:p>
    <w:p w14:paraId="0ED70214" w14:textId="77777777" w:rsidR="004634C9" w:rsidRDefault="004634C9">
      <w:pPr>
        <w:pStyle w:val="a3"/>
        <w:spacing w:before="5"/>
        <w:rPr>
          <w:b/>
          <w:i/>
          <w:sz w:val="13"/>
        </w:rPr>
      </w:pPr>
    </w:p>
    <w:p w14:paraId="69777A3A" w14:textId="77777777" w:rsidR="004634C9" w:rsidRDefault="00000000">
      <w:pPr>
        <w:pStyle w:val="a4"/>
        <w:numPr>
          <w:ilvl w:val="0"/>
          <w:numId w:val="15"/>
        </w:numPr>
        <w:tabs>
          <w:tab w:val="left" w:pos="3791"/>
        </w:tabs>
        <w:spacing w:line="860" w:lineRule="exact"/>
        <w:ind w:hanging="541"/>
        <w:rPr>
          <w:sz w:val="48"/>
        </w:rPr>
      </w:pPr>
      <w:bookmarkStart w:id="1" w:name="幻灯片_2"/>
      <w:bookmarkEnd w:id="1"/>
      <w:r>
        <w:rPr>
          <w:sz w:val="48"/>
        </w:rPr>
        <w:t>新“国九条”推动资本市场高质量发展</w:t>
      </w:r>
    </w:p>
    <w:p w14:paraId="2798EF6B" w14:textId="77777777" w:rsidR="004634C9" w:rsidRDefault="00000000">
      <w:pPr>
        <w:pStyle w:val="a4"/>
        <w:numPr>
          <w:ilvl w:val="0"/>
          <w:numId w:val="15"/>
        </w:numPr>
        <w:tabs>
          <w:tab w:val="left" w:pos="3791"/>
        </w:tabs>
        <w:spacing w:before="152" w:line="240" w:lineRule="auto"/>
        <w:ind w:hanging="541"/>
        <w:rPr>
          <w:sz w:val="48"/>
        </w:rPr>
      </w:pPr>
      <w:r>
        <w:rPr>
          <w:spacing w:val="-1"/>
          <w:sz w:val="48"/>
        </w:rPr>
        <w:t>上市：审核趋严，标准提高，强调定位</w:t>
      </w:r>
    </w:p>
    <w:p w14:paraId="3125A860" w14:textId="77777777" w:rsidR="004634C9" w:rsidRDefault="00000000">
      <w:pPr>
        <w:pStyle w:val="a4"/>
        <w:numPr>
          <w:ilvl w:val="0"/>
          <w:numId w:val="15"/>
        </w:numPr>
        <w:tabs>
          <w:tab w:val="left" w:pos="3791"/>
        </w:tabs>
        <w:spacing w:before="152" w:line="240" w:lineRule="auto"/>
        <w:ind w:hanging="541"/>
        <w:rPr>
          <w:sz w:val="48"/>
        </w:rPr>
      </w:pPr>
      <w:r>
        <w:rPr>
          <w:sz w:val="48"/>
        </w:rPr>
        <w:t>减持：严防绕道，新增约束</w:t>
      </w:r>
    </w:p>
    <w:p w14:paraId="0CB92FD0" w14:textId="77777777" w:rsidR="004634C9" w:rsidRDefault="00000000">
      <w:pPr>
        <w:pStyle w:val="a4"/>
        <w:numPr>
          <w:ilvl w:val="0"/>
          <w:numId w:val="15"/>
        </w:numPr>
        <w:tabs>
          <w:tab w:val="left" w:pos="3791"/>
        </w:tabs>
        <w:spacing w:before="152" w:line="240" w:lineRule="auto"/>
        <w:ind w:hanging="541"/>
        <w:rPr>
          <w:sz w:val="48"/>
        </w:rPr>
      </w:pPr>
      <w:r>
        <w:rPr>
          <w:sz w:val="48"/>
        </w:rPr>
        <w:t>分红：沪深交易所强约束，北交所鼓励但不强制</w:t>
      </w:r>
    </w:p>
    <w:p w14:paraId="376BF63C" w14:textId="77777777" w:rsidR="004634C9" w:rsidRDefault="00000000">
      <w:pPr>
        <w:pStyle w:val="a4"/>
        <w:numPr>
          <w:ilvl w:val="0"/>
          <w:numId w:val="15"/>
        </w:numPr>
        <w:tabs>
          <w:tab w:val="left" w:pos="3791"/>
        </w:tabs>
        <w:spacing w:before="153" w:line="240" w:lineRule="auto"/>
        <w:ind w:hanging="541"/>
        <w:rPr>
          <w:sz w:val="48"/>
        </w:rPr>
      </w:pPr>
      <w:r>
        <w:rPr>
          <w:sz w:val="48"/>
        </w:rPr>
        <w:t>退市：加强监管，优化标准，严肃纪律</w:t>
      </w:r>
    </w:p>
    <w:p w14:paraId="43D23410" w14:textId="77777777" w:rsidR="004634C9" w:rsidRDefault="00000000">
      <w:pPr>
        <w:pStyle w:val="a4"/>
        <w:numPr>
          <w:ilvl w:val="0"/>
          <w:numId w:val="15"/>
        </w:numPr>
        <w:tabs>
          <w:tab w:val="left" w:pos="3791"/>
        </w:tabs>
        <w:spacing w:before="152" w:line="240" w:lineRule="auto"/>
        <w:ind w:hanging="541"/>
        <w:rPr>
          <w:sz w:val="48"/>
        </w:rPr>
      </w:pPr>
      <w:r>
        <w:rPr>
          <w:spacing w:val="-1"/>
          <w:sz w:val="48"/>
        </w:rPr>
        <w:t>交易：强化交易监管，吸引资金入市</w:t>
      </w:r>
    </w:p>
    <w:p w14:paraId="7224229A" w14:textId="77777777" w:rsidR="004634C9" w:rsidRDefault="00000000">
      <w:pPr>
        <w:pStyle w:val="a4"/>
        <w:numPr>
          <w:ilvl w:val="0"/>
          <w:numId w:val="15"/>
        </w:numPr>
        <w:tabs>
          <w:tab w:val="left" w:pos="3791"/>
        </w:tabs>
        <w:spacing w:before="153" w:line="240" w:lineRule="auto"/>
        <w:ind w:hanging="541"/>
        <w:rPr>
          <w:sz w:val="48"/>
        </w:rPr>
      </w:pPr>
      <w:r>
        <w:rPr>
          <w:sz w:val="48"/>
        </w:rPr>
        <w:t>机构：回归业务本源，建设一流机构</w:t>
      </w:r>
    </w:p>
    <w:p w14:paraId="6F505126" w14:textId="77777777" w:rsidR="004634C9" w:rsidRDefault="00000000">
      <w:pPr>
        <w:spacing w:before="151"/>
        <w:ind w:left="3250"/>
        <w:rPr>
          <w:sz w:val="48"/>
        </w:rPr>
      </w:pPr>
      <w:r>
        <w:rPr>
          <w:spacing w:val="-1"/>
          <w:sz w:val="48"/>
        </w:rPr>
        <w:t>总结：严惩严管思路明确，监管系统性提高，特色更鲜明</w:t>
      </w:r>
    </w:p>
    <w:p w14:paraId="77460B86" w14:textId="77777777" w:rsidR="004634C9" w:rsidRDefault="004634C9">
      <w:pPr>
        <w:rPr>
          <w:sz w:val="48"/>
        </w:rPr>
        <w:sectPr w:rsidR="004634C9">
          <w:headerReference w:type="default" r:id="rId9"/>
          <w:pgSz w:w="19200" w:h="10800" w:orient="landscape"/>
          <w:pgMar w:top="1200" w:right="0" w:bottom="280" w:left="0" w:header="523" w:footer="0" w:gutter="0"/>
          <w:cols w:space="720"/>
        </w:sectPr>
      </w:pPr>
    </w:p>
    <w:p w14:paraId="55350319" w14:textId="77777777" w:rsidR="004634C9" w:rsidRDefault="004634C9">
      <w:pPr>
        <w:pStyle w:val="a3"/>
        <w:rPr>
          <w:sz w:val="20"/>
        </w:rPr>
      </w:pPr>
    </w:p>
    <w:p w14:paraId="6DC4B3D1" w14:textId="77777777" w:rsidR="004634C9" w:rsidRDefault="004634C9">
      <w:pPr>
        <w:pStyle w:val="a3"/>
        <w:rPr>
          <w:sz w:val="20"/>
        </w:rPr>
      </w:pPr>
    </w:p>
    <w:p w14:paraId="2E333BAF" w14:textId="77777777" w:rsidR="004634C9" w:rsidRDefault="004634C9">
      <w:pPr>
        <w:pStyle w:val="a3"/>
        <w:rPr>
          <w:sz w:val="20"/>
        </w:rPr>
      </w:pPr>
    </w:p>
    <w:p w14:paraId="7E856BA2" w14:textId="77777777" w:rsidR="004634C9" w:rsidRDefault="004634C9">
      <w:pPr>
        <w:pStyle w:val="a3"/>
        <w:rPr>
          <w:sz w:val="20"/>
        </w:rPr>
      </w:pPr>
    </w:p>
    <w:p w14:paraId="5F7F157E" w14:textId="77777777" w:rsidR="004634C9" w:rsidRDefault="004634C9">
      <w:pPr>
        <w:pStyle w:val="a3"/>
        <w:rPr>
          <w:sz w:val="20"/>
        </w:rPr>
      </w:pPr>
    </w:p>
    <w:p w14:paraId="2968757E" w14:textId="77777777" w:rsidR="004634C9" w:rsidRDefault="004634C9">
      <w:pPr>
        <w:pStyle w:val="a3"/>
        <w:spacing w:before="12"/>
        <w:rPr>
          <w:sz w:val="23"/>
        </w:rPr>
      </w:pPr>
    </w:p>
    <w:p w14:paraId="277019C6" w14:textId="77777777" w:rsidR="004634C9" w:rsidRDefault="00000000">
      <w:pPr>
        <w:tabs>
          <w:tab w:val="left" w:pos="883"/>
          <w:tab w:val="left" w:pos="19199"/>
        </w:tabs>
        <w:spacing w:line="1619" w:lineRule="exact"/>
        <w:rPr>
          <w:b/>
          <w:i/>
          <w:sz w:val="96"/>
        </w:rPr>
      </w:pPr>
      <w:bookmarkStart w:id="2" w:name="幻灯片_3:_1._新“国九条”推动资本市场高质量发展"/>
      <w:bookmarkEnd w:id="2"/>
      <w:r>
        <w:rPr>
          <w:b/>
          <w:color w:val="FFFFFF"/>
          <w:sz w:val="96"/>
          <w:shd w:val="clear" w:color="auto" w:fill="C00000"/>
        </w:rPr>
        <w:t xml:space="preserve"> </w:t>
      </w:r>
      <w:r>
        <w:rPr>
          <w:b/>
          <w:color w:val="FFFFFF"/>
          <w:sz w:val="96"/>
          <w:shd w:val="clear" w:color="auto" w:fill="C00000"/>
        </w:rPr>
        <w:tab/>
        <w:t>1.</w:t>
      </w:r>
      <w:r>
        <w:rPr>
          <w:b/>
          <w:color w:val="FFFFFF"/>
          <w:spacing w:val="-9"/>
          <w:sz w:val="96"/>
          <w:shd w:val="clear" w:color="auto" w:fill="C00000"/>
        </w:rPr>
        <w:t xml:space="preserve"> </w:t>
      </w:r>
      <w:r>
        <w:rPr>
          <w:b/>
          <w:i/>
          <w:color w:val="FFFFFF"/>
          <w:sz w:val="96"/>
          <w:shd w:val="clear" w:color="auto" w:fill="C00000"/>
        </w:rPr>
        <w:t>新“国九条”推动资本市场高质量发展</w:t>
      </w:r>
      <w:r>
        <w:rPr>
          <w:b/>
          <w:i/>
          <w:color w:val="FFFFFF"/>
          <w:sz w:val="96"/>
          <w:shd w:val="clear" w:color="auto" w:fill="C00000"/>
        </w:rPr>
        <w:tab/>
      </w:r>
    </w:p>
    <w:p w14:paraId="129980D9" w14:textId="77777777" w:rsidR="004634C9" w:rsidRDefault="004634C9">
      <w:pPr>
        <w:spacing w:line="1619" w:lineRule="exact"/>
        <w:rPr>
          <w:sz w:val="96"/>
        </w:rPr>
        <w:sectPr w:rsidR="004634C9">
          <w:pgSz w:w="19200" w:h="10800" w:orient="landscape"/>
          <w:pgMar w:top="1200" w:right="0" w:bottom="280" w:left="0" w:header="523" w:footer="0" w:gutter="0"/>
          <w:cols w:space="720"/>
        </w:sectPr>
      </w:pPr>
    </w:p>
    <w:p w14:paraId="25F0B5FD" w14:textId="77777777" w:rsidR="004634C9" w:rsidRDefault="004634C9">
      <w:pPr>
        <w:pStyle w:val="a3"/>
        <w:spacing w:before="10"/>
        <w:rPr>
          <w:b/>
          <w:i/>
          <w:sz w:val="5"/>
        </w:rPr>
      </w:pPr>
    </w:p>
    <w:p w14:paraId="1E826462" w14:textId="77777777" w:rsidR="004634C9" w:rsidRDefault="004634C9">
      <w:pPr>
        <w:rPr>
          <w:sz w:val="5"/>
        </w:rPr>
        <w:sectPr w:rsidR="004634C9">
          <w:headerReference w:type="default" r:id="rId10"/>
          <w:pgSz w:w="19200" w:h="10800" w:orient="landscape"/>
          <w:pgMar w:top="1200" w:right="0" w:bottom="0" w:left="0" w:header="523" w:footer="0" w:gutter="0"/>
          <w:cols w:space="720"/>
        </w:sectPr>
      </w:pPr>
    </w:p>
    <w:p w14:paraId="0B51C34B" w14:textId="77777777" w:rsidR="004634C9" w:rsidRDefault="00000000">
      <w:pPr>
        <w:spacing w:before="328" w:line="634" w:lineRule="exact"/>
        <w:ind w:left="492"/>
        <w:rPr>
          <w:sz w:val="36"/>
        </w:rPr>
      </w:pPr>
      <w:bookmarkStart w:id="3" w:name="幻灯片_4"/>
      <w:bookmarkEnd w:id="3"/>
      <w:r>
        <w:rPr>
          <w:color w:val="FF0000"/>
          <w:sz w:val="36"/>
        </w:rPr>
        <w:t>对资本市场发展的要求：从重“量”走</w:t>
      </w:r>
    </w:p>
    <w:p w14:paraId="5ABDD6DB" w14:textId="77777777" w:rsidR="004634C9" w:rsidRDefault="00000000">
      <w:pPr>
        <w:spacing w:line="605" w:lineRule="exact"/>
        <w:ind w:left="492"/>
        <w:rPr>
          <w:sz w:val="36"/>
        </w:rPr>
      </w:pPr>
      <w:r>
        <w:rPr>
          <w:color w:val="FF0000"/>
          <w:sz w:val="36"/>
        </w:rPr>
        <w:t>向重“质”</w:t>
      </w:r>
    </w:p>
    <w:p w14:paraId="3FE87BC1" w14:textId="77777777" w:rsidR="004634C9" w:rsidRDefault="00000000">
      <w:pPr>
        <w:spacing w:line="605" w:lineRule="exact"/>
        <w:ind w:left="492"/>
        <w:rPr>
          <w:sz w:val="36"/>
        </w:rPr>
      </w:pPr>
      <w:r>
        <w:rPr>
          <w:rFonts w:ascii="Arial" w:eastAsia="Arial" w:hAnsi="Arial"/>
          <w:sz w:val="36"/>
        </w:rPr>
        <w:t>2004</w:t>
      </w:r>
      <w:r>
        <w:rPr>
          <w:sz w:val="36"/>
        </w:rPr>
        <w:t>年“</w:t>
      </w:r>
      <w:r>
        <w:rPr>
          <w:b/>
          <w:i/>
          <w:sz w:val="36"/>
        </w:rPr>
        <w:t>推进资本市场改革开放</w:t>
      </w:r>
      <w:r>
        <w:rPr>
          <w:sz w:val="36"/>
        </w:rPr>
        <w:t>”</w:t>
      </w:r>
    </w:p>
    <w:p w14:paraId="54E0800A" w14:textId="77777777" w:rsidR="004634C9" w:rsidRDefault="00000000">
      <w:pPr>
        <w:spacing w:line="605" w:lineRule="exact"/>
        <w:ind w:left="492"/>
        <w:rPr>
          <w:sz w:val="36"/>
        </w:rPr>
      </w:pPr>
      <w:r>
        <w:rPr>
          <w:rFonts w:ascii="Arial" w:eastAsia="Arial" w:hAnsi="Arial"/>
          <w:sz w:val="36"/>
        </w:rPr>
        <w:t>2014</w:t>
      </w:r>
      <w:r>
        <w:rPr>
          <w:sz w:val="36"/>
        </w:rPr>
        <w:t>年“</w:t>
      </w:r>
      <w:r>
        <w:rPr>
          <w:b/>
          <w:i/>
          <w:sz w:val="36"/>
        </w:rPr>
        <w:t>发展多层次资本市场</w:t>
      </w:r>
      <w:r>
        <w:rPr>
          <w:sz w:val="36"/>
        </w:rPr>
        <w:t>”</w:t>
      </w:r>
    </w:p>
    <w:p w14:paraId="439CF32C" w14:textId="77777777" w:rsidR="004634C9" w:rsidRDefault="00000000">
      <w:pPr>
        <w:spacing w:before="14" w:line="218" w:lineRule="auto"/>
        <w:ind w:left="492" w:right="240"/>
        <w:rPr>
          <w:sz w:val="36"/>
        </w:rPr>
      </w:pPr>
      <w:r>
        <w:rPr>
          <w:rFonts w:ascii="Arial" w:eastAsia="Arial" w:hAnsi="Arial"/>
          <w:sz w:val="36"/>
        </w:rPr>
        <w:t>2024</w:t>
      </w:r>
      <w:r>
        <w:rPr>
          <w:sz w:val="36"/>
        </w:rPr>
        <w:t>年“</w:t>
      </w:r>
      <w:r>
        <w:rPr>
          <w:b/>
          <w:i/>
          <w:sz w:val="36"/>
        </w:rPr>
        <w:t>严监管防风险推动资本市场高质量发展</w:t>
      </w:r>
      <w:r>
        <w:rPr>
          <w:sz w:val="36"/>
        </w:rPr>
        <w:t>”</w:t>
      </w:r>
    </w:p>
    <w:p w14:paraId="7729BC44" w14:textId="77777777" w:rsidR="004634C9" w:rsidRDefault="004634C9">
      <w:pPr>
        <w:pStyle w:val="a3"/>
        <w:spacing w:before="11"/>
        <w:rPr>
          <w:sz w:val="30"/>
        </w:rPr>
      </w:pPr>
    </w:p>
    <w:p w14:paraId="17288261" w14:textId="77777777" w:rsidR="004634C9" w:rsidRDefault="00000000">
      <w:pPr>
        <w:pStyle w:val="3"/>
        <w:spacing w:line="636" w:lineRule="exact"/>
        <w:ind w:left="1913"/>
      </w:pPr>
      <w:r>
        <w:rPr>
          <w:rFonts w:ascii="Arial" w:eastAsia="Arial" w:hAnsi="Arial"/>
        </w:rPr>
        <w:t>2024</w:t>
      </w:r>
      <w:r>
        <w:t>年新“国九条”</w:t>
      </w:r>
    </w:p>
    <w:p w14:paraId="081E7884" w14:textId="77777777" w:rsidR="004634C9" w:rsidRDefault="00000000">
      <w:pPr>
        <w:pStyle w:val="a4"/>
        <w:numPr>
          <w:ilvl w:val="0"/>
          <w:numId w:val="14"/>
        </w:numPr>
        <w:tabs>
          <w:tab w:val="left" w:pos="945"/>
        </w:tabs>
        <w:spacing w:before="10" w:line="218" w:lineRule="auto"/>
        <w:ind w:right="230"/>
        <w:jc w:val="both"/>
        <w:rPr>
          <w:sz w:val="32"/>
        </w:rPr>
      </w:pPr>
      <w:r>
        <w:rPr>
          <w:b/>
          <w:i/>
          <w:sz w:val="32"/>
        </w:rPr>
        <w:t>加强监管</w:t>
      </w:r>
      <w:r>
        <w:rPr>
          <w:sz w:val="32"/>
        </w:rPr>
        <w:t>，</w:t>
      </w:r>
      <w:r>
        <w:rPr>
          <w:b/>
          <w:i/>
          <w:sz w:val="32"/>
        </w:rPr>
        <w:t>加强投资者保护：</w:t>
      </w:r>
      <w:r>
        <w:rPr>
          <w:spacing w:val="-4"/>
          <w:sz w:val="32"/>
        </w:rPr>
        <w:t>体现建设</w:t>
      </w:r>
      <w:r>
        <w:rPr>
          <w:spacing w:val="-1"/>
          <w:sz w:val="32"/>
        </w:rPr>
        <w:t>以投资者为本的资本市场的要求。利于</w:t>
      </w:r>
      <w:r>
        <w:rPr>
          <w:sz w:val="32"/>
        </w:rPr>
        <w:t>长远金融安全。</w:t>
      </w:r>
    </w:p>
    <w:p w14:paraId="1402190D" w14:textId="77777777" w:rsidR="004634C9" w:rsidRDefault="00000000">
      <w:pPr>
        <w:pStyle w:val="a4"/>
        <w:numPr>
          <w:ilvl w:val="0"/>
          <w:numId w:val="14"/>
        </w:numPr>
        <w:tabs>
          <w:tab w:val="left" w:pos="945"/>
        </w:tabs>
        <w:spacing w:before="3" w:line="218" w:lineRule="auto"/>
        <w:ind w:right="230"/>
        <w:jc w:val="both"/>
        <w:rPr>
          <w:sz w:val="32"/>
        </w:rPr>
      </w:pPr>
      <w:r>
        <w:rPr>
          <w:b/>
          <w:i/>
          <w:sz w:val="32"/>
        </w:rPr>
        <w:t>推动市场主体做优做强：</w:t>
      </w:r>
      <w:r>
        <w:rPr>
          <w:spacing w:val="-3"/>
          <w:sz w:val="32"/>
        </w:rPr>
        <w:t>上市公司严进</w:t>
      </w:r>
      <w:r>
        <w:rPr>
          <w:spacing w:val="-1"/>
          <w:sz w:val="32"/>
        </w:rPr>
        <w:t xml:space="preserve">严出、优胜劣汰；推动券商做优做强； </w:t>
      </w:r>
      <w:r>
        <w:rPr>
          <w:sz w:val="32"/>
        </w:rPr>
        <w:t>投资者结构优化（</w:t>
      </w:r>
      <w:r>
        <w:rPr>
          <w:spacing w:val="-2"/>
          <w:sz w:val="32"/>
        </w:rPr>
        <w:t>公募优化激励机制、</w:t>
      </w:r>
      <w:r>
        <w:rPr>
          <w:sz w:val="32"/>
        </w:rPr>
        <w:t>引导中长期资金入市）。</w:t>
      </w:r>
    </w:p>
    <w:p w14:paraId="2F87CAEF" w14:textId="77777777" w:rsidR="004634C9" w:rsidRDefault="00000000">
      <w:pPr>
        <w:pStyle w:val="4"/>
        <w:spacing w:before="16"/>
        <w:ind w:left="3887" w:right="3819"/>
        <w:jc w:val="center"/>
      </w:pPr>
      <w:r>
        <w:rPr>
          <w:b w:val="0"/>
          <w:i w:val="0"/>
        </w:rPr>
        <w:br w:type="column"/>
      </w:r>
      <w:r>
        <w:rPr>
          <w:color w:val="BE1B1B"/>
        </w:rPr>
        <w:t>资本市场三次“国九条”内容对比</w:t>
      </w:r>
    </w:p>
    <w:p w14:paraId="07810A0B" w14:textId="77777777" w:rsidR="004634C9" w:rsidRDefault="004634C9">
      <w:pPr>
        <w:pStyle w:val="a3"/>
        <w:rPr>
          <w:b/>
          <w:i/>
          <w:sz w:val="42"/>
        </w:rPr>
      </w:pPr>
    </w:p>
    <w:p w14:paraId="7C6B0BF4" w14:textId="77777777" w:rsidR="004634C9" w:rsidRDefault="004634C9">
      <w:pPr>
        <w:pStyle w:val="a3"/>
        <w:rPr>
          <w:b/>
          <w:i/>
          <w:sz w:val="42"/>
        </w:rPr>
      </w:pPr>
    </w:p>
    <w:p w14:paraId="31B6862E" w14:textId="77777777" w:rsidR="004634C9" w:rsidRDefault="004634C9">
      <w:pPr>
        <w:pStyle w:val="a3"/>
        <w:rPr>
          <w:b/>
          <w:i/>
          <w:sz w:val="42"/>
        </w:rPr>
      </w:pPr>
    </w:p>
    <w:p w14:paraId="424653F9" w14:textId="77777777" w:rsidR="004634C9" w:rsidRDefault="004634C9">
      <w:pPr>
        <w:pStyle w:val="a3"/>
        <w:rPr>
          <w:b/>
          <w:i/>
          <w:sz w:val="42"/>
        </w:rPr>
      </w:pPr>
    </w:p>
    <w:p w14:paraId="1F105951" w14:textId="77777777" w:rsidR="004634C9" w:rsidRDefault="004634C9">
      <w:pPr>
        <w:pStyle w:val="a3"/>
        <w:rPr>
          <w:b/>
          <w:i/>
          <w:sz w:val="42"/>
        </w:rPr>
      </w:pPr>
    </w:p>
    <w:p w14:paraId="513F3471" w14:textId="77777777" w:rsidR="004634C9" w:rsidRDefault="004634C9">
      <w:pPr>
        <w:pStyle w:val="a3"/>
        <w:rPr>
          <w:b/>
          <w:i/>
          <w:sz w:val="42"/>
        </w:rPr>
      </w:pPr>
    </w:p>
    <w:p w14:paraId="00CBBFDA" w14:textId="77777777" w:rsidR="004634C9" w:rsidRDefault="004634C9">
      <w:pPr>
        <w:pStyle w:val="a3"/>
        <w:rPr>
          <w:b/>
          <w:i/>
          <w:sz w:val="42"/>
        </w:rPr>
      </w:pPr>
    </w:p>
    <w:p w14:paraId="238BB7C8" w14:textId="77777777" w:rsidR="004634C9" w:rsidRDefault="004634C9">
      <w:pPr>
        <w:pStyle w:val="a3"/>
        <w:rPr>
          <w:b/>
          <w:i/>
          <w:sz w:val="42"/>
        </w:rPr>
      </w:pPr>
    </w:p>
    <w:p w14:paraId="4216463B" w14:textId="77777777" w:rsidR="004634C9" w:rsidRDefault="004634C9">
      <w:pPr>
        <w:pStyle w:val="a3"/>
        <w:rPr>
          <w:b/>
          <w:i/>
          <w:sz w:val="42"/>
        </w:rPr>
      </w:pPr>
    </w:p>
    <w:p w14:paraId="6B910ADA" w14:textId="77777777" w:rsidR="004634C9" w:rsidRDefault="004634C9">
      <w:pPr>
        <w:pStyle w:val="a3"/>
        <w:rPr>
          <w:b/>
          <w:i/>
          <w:sz w:val="42"/>
        </w:rPr>
      </w:pPr>
    </w:p>
    <w:p w14:paraId="365A4562" w14:textId="77777777" w:rsidR="004634C9" w:rsidRDefault="004634C9">
      <w:pPr>
        <w:pStyle w:val="a3"/>
        <w:spacing w:before="13"/>
        <w:rPr>
          <w:b/>
          <w:i/>
          <w:sz w:val="31"/>
        </w:rPr>
      </w:pPr>
    </w:p>
    <w:p w14:paraId="40248191" w14:textId="77777777" w:rsidR="004634C9" w:rsidRDefault="00000000">
      <w:pPr>
        <w:spacing w:before="1"/>
        <w:ind w:left="489"/>
        <w:rPr>
          <w:sz w:val="28"/>
        </w:rPr>
      </w:pPr>
      <w:r>
        <w:rPr>
          <w:noProof/>
        </w:rPr>
        <w:drawing>
          <wp:anchor distT="0" distB="0" distL="0" distR="0" simplePos="0" relativeHeight="251660288" behindDoc="0" locked="0" layoutInCell="1" allowOverlap="1" wp14:anchorId="06C284AC" wp14:editId="6F687706">
            <wp:simplePos x="0" y="0"/>
            <wp:positionH relativeFrom="page">
              <wp:posOffset>4474464</wp:posOffset>
            </wp:positionH>
            <wp:positionV relativeFrom="paragraph">
              <wp:posOffset>-5311450</wp:posOffset>
            </wp:positionV>
            <wp:extent cx="7572756" cy="530047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7572756" cy="5300472"/>
                    </a:xfrm>
                    <a:prstGeom prst="rect">
                      <a:avLst/>
                    </a:prstGeom>
                  </pic:spPr>
                </pic:pic>
              </a:graphicData>
            </a:graphic>
          </wp:anchor>
        </w:drawing>
      </w:r>
      <w:r>
        <w:rPr>
          <w:color w:val="7E7E7E"/>
          <w:sz w:val="28"/>
        </w:rPr>
        <w:t>资料来源：中国政府网、万联证券研究所</w:t>
      </w:r>
    </w:p>
    <w:p w14:paraId="538B5DA8" w14:textId="77777777" w:rsidR="004634C9" w:rsidRDefault="004634C9">
      <w:pPr>
        <w:rPr>
          <w:sz w:val="28"/>
        </w:rPr>
        <w:sectPr w:rsidR="004634C9">
          <w:type w:val="continuous"/>
          <w:pgSz w:w="19200" w:h="10800" w:orient="landscape"/>
          <w:pgMar w:top="1000" w:right="0" w:bottom="280" w:left="0" w:header="720" w:footer="720" w:gutter="0"/>
          <w:cols w:num="2" w:space="720" w:equalWidth="0">
            <w:col w:w="6613" w:space="40"/>
            <w:col w:w="12547"/>
          </w:cols>
        </w:sectPr>
      </w:pPr>
    </w:p>
    <w:p w14:paraId="2494E8E6" w14:textId="77777777" w:rsidR="004634C9" w:rsidRDefault="004634C9">
      <w:pPr>
        <w:pStyle w:val="a3"/>
        <w:rPr>
          <w:sz w:val="20"/>
        </w:rPr>
      </w:pPr>
    </w:p>
    <w:p w14:paraId="7FB7847C" w14:textId="77777777" w:rsidR="004634C9" w:rsidRDefault="004634C9">
      <w:pPr>
        <w:pStyle w:val="a3"/>
        <w:rPr>
          <w:sz w:val="20"/>
        </w:rPr>
      </w:pPr>
    </w:p>
    <w:p w14:paraId="3E628D72" w14:textId="77777777" w:rsidR="004634C9" w:rsidRDefault="004634C9">
      <w:pPr>
        <w:pStyle w:val="a3"/>
        <w:spacing w:before="7"/>
        <w:rPr>
          <w:sz w:val="20"/>
        </w:rPr>
      </w:pPr>
    </w:p>
    <w:p w14:paraId="65D926C1" w14:textId="77777777" w:rsidR="004634C9" w:rsidRDefault="00000000">
      <w:pPr>
        <w:pStyle w:val="3"/>
        <w:numPr>
          <w:ilvl w:val="1"/>
          <w:numId w:val="14"/>
        </w:numPr>
        <w:tabs>
          <w:tab w:val="left" w:pos="1548"/>
        </w:tabs>
        <w:spacing w:before="6" w:line="280" w:lineRule="auto"/>
        <w:ind w:right="731" w:hanging="272"/>
      </w:pPr>
      <w:bookmarkStart w:id="4" w:name="幻灯片_5"/>
      <w:bookmarkEnd w:id="4"/>
      <w:r>
        <w:rPr>
          <w:spacing w:val="-1"/>
        </w:rPr>
        <w:t>新“国九条”有三大清晰特点。证监会主席吴清接受采访表示，此次“国九条”的发布充分体现了党中央、</w:t>
      </w:r>
      <w:r>
        <w:t>国务院对资本市场的高度重视和殷切期望。与前两个“国九条”相比，本次出台的意见主要特点：</w:t>
      </w:r>
    </w:p>
    <w:p w14:paraId="56B099DF" w14:textId="77777777" w:rsidR="004634C9" w:rsidRDefault="00000000">
      <w:pPr>
        <w:pStyle w:val="a4"/>
        <w:numPr>
          <w:ilvl w:val="0"/>
          <w:numId w:val="13"/>
        </w:numPr>
        <w:tabs>
          <w:tab w:val="left" w:pos="2112"/>
        </w:tabs>
        <w:spacing w:before="243" w:line="240" w:lineRule="auto"/>
        <w:jc w:val="left"/>
        <w:rPr>
          <w:sz w:val="34"/>
        </w:rPr>
      </w:pPr>
      <w:r>
        <w:pict w14:anchorId="15AB1865">
          <v:line id="_x0000_s2263" style="position:absolute;left:0;text-align:left;z-index:-253428736;mso-position-horizontal-relative:page" from="519.5pt,37.95pt" to="645.5pt,37.95pt" strokeweight="1.08pt">
            <w10:wrap anchorx="page"/>
          </v:line>
        </w:pict>
      </w:r>
      <w:r>
        <w:rPr>
          <w:b/>
          <w:i/>
          <w:sz w:val="36"/>
        </w:rPr>
        <w:t>保护中小投资者合法权益。</w:t>
      </w:r>
      <w:r>
        <w:rPr>
          <w:spacing w:val="-1"/>
          <w:sz w:val="36"/>
        </w:rPr>
        <w:t>意见充分体现资本市场的政治性、人民性。强调要坚持和加强党对资本市场</w:t>
      </w:r>
    </w:p>
    <w:p w14:paraId="500BDF18" w14:textId="77777777" w:rsidR="004634C9" w:rsidRDefault="00000000">
      <w:pPr>
        <w:pStyle w:val="3"/>
        <w:spacing w:before="114"/>
        <w:ind w:left="1191"/>
      </w:pPr>
      <w:r>
        <w:pict w14:anchorId="5FD38DDE">
          <v:line id="_x0000_s2262" style="position:absolute;left:0;text-align:left;z-index:-253427712;mso-position-horizontal-relative:page" from="239.55pt,31.5pt" to="437.55pt,31.5pt" strokeweight="1.08pt">
            <w10:wrap anchorx="page"/>
          </v:line>
        </w:pict>
      </w:r>
      <w:r>
        <w:pict w14:anchorId="51F659CF">
          <v:line id="_x0000_s2261" style="position:absolute;left:0;text-align:left;z-index:-253426688;mso-position-horizontal-relative:page" from="671.55pt,31.5pt" to="833.55pt,31.5pt" strokeweight="1.08pt">
            <w10:wrap anchorx="page"/>
          </v:line>
        </w:pict>
      </w:r>
      <w:r>
        <w:t>工作的全面领导，坚持以人民为中心的价值取向，更加有效保护投资者特别是中小投资者合法权益。</w:t>
      </w:r>
    </w:p>
    <w:p w14:paraId="727A88D0" w14:textId="77777777" w:rsidR="004634C9" w:rsidRDefault="00000000">
      <w:pPr>
        <w:pStyle w:val="a4"/>
        <w:numPr>
          <w:ilvl w:val="0"/>
          <w:numId w:val="13"/>
        </w:numPr>
        <w:tabs>
          <w:tab w:val="left" w:pos="2112"/>
        </w:tabs>
        <w:spacing w:before="115" w:line="280" w:lineRule="auto"/>
        <w:ind w:left="1191" w:right="886" w:firstLine="0"/>
        <w:jc w:val="left"/>
        <w:rPr>
          <w:sz w:val="34"/>
        </w:rPr>
      </w:pPr>
      <w:r>
        <w:pict w14:anchorId="72E04412">
          <v:line id="_x0000_s2260" style="position:absolute;left:0;text-align:left;z-index:-253425664;mso-position-horizontal-relative:page" from="95.55pt,70.4pt" to="257.55pt,70.4pt" strokeweight="1.08pt">
            <w10:wrap anchorx="page"/>
          </v:line>
        </w:pict>
      </w:r>
      <w:r>
        <w:rPr>
          <w:b/>
          <w:i/>
          <w:sz w:val="36"/>
        </w:rPr>
        <w:t>强化资本市场强监管政策基调。</w:t>
      </w:r>
      <w:r>
        <w:rPr>
          <w:spacing w:val="-1"/>
          <w:sz w:val="36"/>
        </w:rPr>
        <w:t>意见充分体现强监管、防风险、促高质量发展的主线。要求坚持稳为基</w:t>
      </w:r>
      <w:r>
        <w:rPr>
          <w:sz w:val="36"/>
        </w:rPr>
        <w:t>调，强本强基，严监严管，以资本市场自身的高质量发展更好服务经济社会高质量发展的大局。</w:t>
      </w:r>
    </w:p>
    <w:p w14:paraId="61DF7F62" w14:textId="77777777" w:rsidR="004634C9" w:rsidRDefault="00000000">
      <w:pPr>
        <w:pStyle w:val="a4"/>
        <w:numPr>
          <w:ilvl w:val="0"/>
          <w:numId w:val="13"/>
        </w:numPr>
        <w:tabs>
          <w:tab w:val="left" w:pos="2112"/>
        </w:tabs>
        <w:spacing w:before="3" w:line="280" w:lineRule="auto"/>
        <w:ind w:left="1191" w:right="970" w:firstLine="0"/>
        <w:jc w:val="both"/>
        <w:rPr>
          <w:sz w:val="34"/>
        </w:rPr>
      </w:pPr>
      <w:r>
        <w:pict w14:anchorId="20A059A2">
          <v:line id="_x0000_s2259" style="position:absolute;left:0;text-align:left;z-index:-253424640;mso-position-horizontal-relative:page" from="545.55pt,64.8pt" to="707.55pt,64.8pt" strokeweight="1.08pt">
            <w10:wrap anchorx="page"/>
          </v:line>
        </w:pict>
      </w:r>
      <w:r>
        <w:pict w14:anchorId="429B4F54">
          <v:line id="_x0000_s2258" style="position:absolute;left:0;text-align:left;z-index:-253423616;mso-position-horizontal-relative:page" from="437.55pt,103.65pt" to="869.55pt,103.65pt" strokeweight="1.08pt">
            <w10:wrap anchorx="page"/>
          </v:line>
        </w:pict>
      </w:r>
      <w:r>
        <w:rPr>
          <w:b/>
          <w:i/>
          <w:sz w:val="36"/>
        </w:rPr>
        <w:t>加快推动制度完善及机制改革。</w:t>
      </w:r>
      <w:r>
        <w:rPr>
          <w:sz w:val="36"/>
        </w:rPr>
        <w:t>意见充分体现目标导向、问题导向。吴清主席表示，针对</w:t>
      </w:r>
      <w:r>
        <w:rPr>
          <w:rFonts w:ascii="Arial" w:eastAsia="Arial"/>
          <w:sz w:val="36"/>
        </w:rPr>
        <w:t>2023</w:t>
      </w:r>
      <w:r>
        <w:rPr>
          <w:sz w:val="36"/>
        </w:rPr>
        <w:t>年</w:t>
      </w:r>
      <w:r>
        <w:rPr>
          <w:rFonts w:ascii="Arial" w:eastAsia="Arial"/>
          <w:sz w:val="36"/>
        </w:rPr>
        <w:t>8</w:t>
      </w:r>
      <w:r>
        <w:rPr>
          <w:spacing w:val="-9"/>
          <w:sz w:val="36"/>
        </w:rPr>
        <w:t>月以</w:t>
      </w:r>
      <w:r>
        <w:rPr>
          <w:sz w:val="36"/>
        </w:rPr>
        <w:t>来股市波动暴露出的制度机制、监管执法等方面的突出问题，及时补短板、强弱项，回应投资者关切，推动解决资本市场长期积累的深层次矛盾，加快建设安全、规范、透明、开放、有活力、有韧性的资本市场。</w:t>
      </w:r>
    </w:p>
    <w:p w14:paraId="5626BB20" w14:textId="77777777" w:rsidR="004634C9" w:rsidRDefault="004634C9">
      <w:pPr>
        <w:spacing w:line="280" w:lineRule="auto"/>
        <w:jc w:val="both"/>
        <w:rPr>
          <w:sz w:val="34"/>
        </w:rPr>
        <w:sectPr w:rsidR="004634C9">
          <w:pgSz w:w="19200" w:h="10800" w:orient="landscape"/>
          <w:pgMar w:top="1200" w:right="0" w:bottom="280" w:left="0" w:header="523" w:footer="0" w:gutter="0"/>
          <w:cols w:space="720"/>
        </w:sectPr>
      </w:pPr>
    </w:p>
    <w:p w14:paraId="26E5A360" w14:textId="77777777" w:rsidR="004634C9" w:rsidRDefault="00000000">
      <w:pPr>
        <w:pStyle w:val="a3"/>
        <w:spacing w:before="17" w:after="1"/>
        <w:rPr>
          <w:sz w:val="17"/>
        </w:rPr>
      </w:pPr>
      <w:r>
        <w:rPr>
          <w:noProof/>
        </w:rPr>
        <w:lastRenderedPageBreak/>
        <w:drawing>
          <wp:anchor distT="0" distB="0" distL="0" distR="0" simplePos="0" relativeHeight="251668480" behindDoc="0" locked="0" layoutInCell="1" allowOverlap="1" wp14:anchorId="5B3F1B30" wp14:editId="1F02D9D4">
            <wp:simplePos x="0" y="0"/>
            <wp:positionH relativeFrom="page">
              <wp:posOffset>9552431</wp:posOffset>
            </wp:positionH>
            <wp:positionV relativeFrom="page">
              <wp:posOffset>332231</wp:posOffset>
            </wp:positionV>
            <wp:extent cx="2231135" cy="43891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4B6B683E">
          <v:group id="_x0000_s2255" style="position:absolute;margin-left:31.2pt;margin-top:26.15pt;width:52.95pt;height:28.45pt;z-index:251669504;mso-position-horizontal-relative:page;mso-position-vertical-relative:page" coordorigin="624,523" coordsize="1059,569">
            <v:shape id="_x0000_s2257" style="position:absolute;left:624;top:535;width:586;height:557" coordorigin="624,535" coordsize="586,557" path="m931,535r-307,l902,814,624,1092r307,l1210,814,931,535xe" fillcolor="#be1b1b" stroked="f">
              <v:path arrowok="t"/>
            </v:shape>
            <v:shape id="_x0000_s2256" style="position:absolute;left:1096;top:523;width:586;height:557" coordorigin="1097,523" coordsize="586,557" path="m1404,523r-307,l1375,802r-278,278l1404,1080,1682,802,1404,523xe" fillcolor="#d9d9d9" stroked="f">
              <v:path arrowok="t"/>
            </v:shape>
            <w10:wrap anchorx="page" anchory="page"/>
          </v:group>
        </w:pict>
      </w:r>
      <w:r>
        <w:pict w14:anchorId="728ADE46">
          <v:shape id="_x0000_s2254" style="position:absolute;margin-left:90.95pt;margin-top:31.55pt;width:129.05pt;height:19.55pt;z-index:251670528;mso-position-horizontal-relative:page;mso-position-vertical-relative:page" coordorigin="1819,631" coordsize="2581,391" o:spt="100" adj="0,,0" path="m2171,665r-328,l1843,723r328,l2171,665xm2153,798r-293,l1860,854r293,l2153,798xm2197,937r-378,l1819,995r378,l2197,937xm2480,758r-52,l2419,828r-26,59l2352,935r-57,38l2305,984r10,11l2325,1008r10,13l2375,992r34,-33l2436,920r21,-42l2509,878r-10,-16l2475,806r2,-11l2478,783r1,-13l2480,758xm2509,878r-52,l2478,921r26,38l2535,990r36,25l2579,1001r8,-14l2595,974r9,-11l2563,940r-35,-34l2509,878xm2280,800r-16,44l2247,887r-17,40l2213,965r54,26l2284,946r17,-42l2317,864r16,-38l2320,820r-13,-7l2293,807r-13,-7xm2386,631r-14,40l2355,709r-19,36l2314,780r13,7l2340,793r14,7l2367,808r10,-18l2387,772r9,-18l2405,735r187,l2593,732r,-45l2424,687r4,-12l2432,663r4,-12l2440,639r-54,-8xm2592,735r-53,l2511,795r51,10l2592,735xm2260,646r-44,29l2232,698r16,22l2262,743r13,23l2325,730r-15,-20l2294,689r-17,-21l2260,646xm2985,658r-39,l2907,752r54,l2985,658xm2900,658r-40,l2821,752r56,l2900,658xm3388,648r-357,l3031,1016r56,l3087,1002r301,l3388,954r-301,l3087,696r301,l3388,648xm3388,1002r-56,l3332,1016r56,l3388,1002xm3388,696r-56,l3332,954r56,l3388,696xm3319,887r-221,l3098,933r221,l3319,887xm3230,838r-52,l3178,887r52,l3230,838xm3281,838r-17,l3241,858r6,6l3254,871r7,8l3269,887r24,l3313,868r-8,-8l3297,853r-8,-8l3281,838xm3310,792r-202,l3108,838r202,l3310,792xm3230,764r-52,l3178,792r52,l3230,764xm3315,719r-213,l3102,764r213,l3315,719xm3580,777r-59,l3513,837r-21,53l3460,933r-45,35l3428,981r11,12l3450,1005r11,13l3510,975r37,-54l3570,854r10,-77xm3710,722r-288,l3422,777r228,l3650,943r3,29l3663,993r17,13l3704,1010r34,l3760,1007r17,-9l3789,982r7,-22l3797,953r-83,l3709,946r1,-12l3710,722xm3752,868r-1,22l3749,908r-1,15l3747,934r-2,12l3740,952r-17,l3714,953r83,l3798,947r2,-16l3803,911r2,-23l3777,877r-13,-4l3752,868xm3586,635r-61,l3524,655r,22l3523,699r,23l3583,722r,-23l3584,677r1,-22l3586,635xm3922,961r4,13l3929,988r3,14l3935,1016r24,-1l3979,1014r15,-1l4005,1011r11,-3l4025,1002r7,-9l4038,983r4,-12l4042,963r-78,l3955,963r-10,-1l3934,962r-12,-1xm3921,893r-2,l3896,911r-25,18l3845,945r-26,16l3826,971r7,10l3841,993r7,11l3876,986r27,-18l3910,963r47,-33l3921,893xm4096,894r-33,36l4169,1004r34,-41l4176,945r-27,-18l4123,910r-27,-16xm4042,893r-57,l3985,955r-7,8l4042,963r,-70xm4187,848r-350,l3837,893r350,l4187,848xm4042,817r-57,l3985,848r57,l4042,817xm3980,731r-75,l3916,741r10,9l3938,759r12,8l3920,773r-31,6l3856,783r-35,3l3826,798r5,12l3837,823r5,12l3888,828r44,-9l3972,809r37,-12l4195,797r1,-4l4202,781r-36,-2l4134,776r-30,-3l4077,768r24,-13l4111,748r-100,l3995,740r-15,-9xm4195,797r-186,l4044,808r40,10l4130,826r51,7l4186,819r5,-13l4195,797xm3992,633r-59,l3913,659r-26,24l3856,707r-36,23l3829,740r8,10l3845,760r7,9l3866,760r13,-9l3893,741r12,-10l3980,731r-1,-1l3964,720r-15,-11l4159,709r1,-1l4160,666r-191,l3975,658r6,-8l3987,641r5,-8xm4159,709r-77,l4066,720r-17,10l4031,739r-20,9l4111,748r11,-8l4142,725r17,-16xm4399,658r-55,l4321,752r39,l4399,658xm4314,658r-54,l4236,752r39,l4314,658xe" fillcolor="#0d0d0d" stroked="f">
            <v:stroke joinstyle="round"/>
            <v:formulas/>
            <v:path arrowok="t" o:connecttype="segments"/>
            <w10:wrap anchorx="page" anchory="page"/>
          </v:shape>
        </w:pict>
      </w:r>
      <w:r>
        <w:pict w14:anchorId="547E15C5">
          <v:shape id="_x0000_s2253" style="position:absolute;margin-left:236.15pt;margin-top:31.55pt;width:78.85pt;height:19.5pt;z-index:251671552;mso-position-horizontal-relative:page;mso-position-vertical-relative:page" coordorigin="4723,631" coordsize="1577,390" o:spt="100" adj="0,,0" path="m4908,867r-64,l4856,883r13,16l4882,914r14,14l4869,939r-29,11l4810,961r-32,9l4786,983r7,12l4801,1008r7,13l4846,1008r35,-13l4914,980r30,-17l5111,963r2,-3l5078,954r-32,-8l5018,938r-24,-10l5017,908r7,-8l4943,900r-16,-13l4913,872r-5,-5xm5111,963r-167,l4974,980r32,15l5042,1007r38,10l5088,1003r8,-15l5105,974r6,-11xm4896,758r-59,l4816,804r-26,43l4759,887r-36,37l4728,939r4,16l4736,972r4,18l4769,963r27,-30l4821,901r23,-34l4908,867r-9,-11l4888,839r183,l5072,837r,-43l4882,794r5,-13l4892,769r4,-11xm5071,839r-64,l4994,855r-14,16l4963,886r-20,14l5024,900r14,-14l5056,862r15,-23xm4758,644r-4,17l4749,678r-5,17l4739,711r,47l5112,758r,-48l4796,710r5,-18l4805,677r4,-16l4812,649r-54,-5xm4870,632r-4,22l4861,674r-4,18l4852,710r59,l4927,637r-57,-5xm5010,634r-35,33l4987,677r15,15l5020,710r26,l5071,685r-14,-12l5043,661r-16,-13l5010,634xm5364,839r-54,l5310,1018r54,l5364,839xm5248,863r-54,l5194,989r54,l5248,863xm5379,928r2,11l5384,951r2,14l5388,980r18,l5421,979r12,-1l5443,976r12,-2l5464,969r7,-10l5476,951r3,-9l5481,932r,-2l5400,930r-8,-1l5379,928xm5482,839r-53,l5429,920r-9,10l5481,930r1,-10l5482,839xm5285,734r-58,l5207,766r-24,31l5156,828r-30,29l5130,869r4,13l5139,896r5,16l5157,900r13,-12l5182,876r12,-13l5248,863r,-24l5482,839r,-46l5250,793r9,-14l5269,764r8,-15l5285,734xm5364,743r-54,l5310,793r54,l5364,743xm5510,682r-379,l5131,734r379,l5510,682xm5269,634r-3,12l5262,658r-5,12l5253,682r56,l5313,672r4,-11l5320,651r4,-11l5269,634xm5736,958r4,11l5743,983r3,15l5749,1015r45,l5812,1014r14,l5839,1013r10,-4l5859,1004r8,-8l5873,987r5,-12l5881,962r,-3l5797,959r-61,-1xm5882,753r-56,l5826,930r-2,13l5818,952r-8,6l5797,959r84,l5882,946r,-193xm5744,774r-40,27l5718,822r16,23l5750,871r17,28l5815,869r-21,-29l5775,814r-16,-22l5744,774xm5915,701r-205,l5710,753r205,l5915,701xm5882,635r-56,l5826,701r56,l5882,635xm5698,660r-154,l5544,997r52,l5596,968r102,l5698,916r-102,l5596,839r102,l5698,789r-102,l5596,711r102,l5698,660xm5698,968r-51,l5647,995r51,l5698,968xm5698,839r-51,l5647,916r51,l5698,839xm5698,711r-51,l5647,789r51,l5698,711xm6155,963r4,13l6162,990r3,13l6168,1018r32,-1l6226,1016r20,-1l6260,1012r14,-3l6284,1001r6,-11l6294,981r3,-11l6298,964r-79,l6201,964r-17,l6169,964r-14,-1xm5996,683r-54,l5942,1017r54,l5996,683xm6300,650r-209,l6091,698r154,l6245,957r-9,7l6298,964r1,-6l6300,944r,-294xm6207,730r-175,l6032,957r50,l6082,936r125,l6207,892r-125,l6082,855r125,l6207,811r-125,l6082,774r125,l6207,730xm6207,855r-49,l6158,892r49,l6207,855xm6207,774r-49,l6158,811r49,l6207,774xm6040,631r-52,18l5997,664r8,16l6014,697r9,19l6077,695r-9,-17l6058,662r-9,-16l6040,631xe" fillcolor="#0d0d0d" stroked="f">
            <v:stroke joinstyle="round"/>
            <v:formulas/>
            <v:path arrowok="t" o:connecttype="segments"/>
            <w10:wrap anchorx="page" anchory="page"/>
          </v:shape>
        </w:pict>
      </w:r>
    </w:p>
    <w:p w14:paraId="52B9712A" w14:textId="77777777" w:rsidR="004634C9" w:rsidRDefault="00000000">
      <w:pPr>
        <w:pStyle w:val="a3"/>
        <w:ind w:left="1209"/>
        <w:rPr>
          <w:sz w:val="20"/>
        </w:rPr>
      </w:pPr>
      <w:r>
        <w:rPr>
          <w:sz w:val="20"/>
        </w:rPr>
      </w:r>
      <w:r>
        <w:rPr>
          <w:sz w:val="20"/>
        </w:rPr>
        <w:pict w14:anchorId="5C2E5B09">
          <v:group id="_x0000_s2245" style="width:809.4pt;height:431.8pt;mso-position-horizontal-relative:char;mso-position-vertical-relative:line" coordsize="16188,8636">
            <v:shape id="_x0000_s2252" type="#_x0000_t75" style="position:absolute;width:16188;height:8636">
              <v:imagedata r:id="rId13" o:title=""/>
            </v:shape>
            <v:shape id="_x0000_s2251" style="position:absolute;left:1927;top:5215;width:852;height:852" coordorigin="1927,5215" coordsize="852,852" o:spt="100" adj="0,,0" path="m2779,5541r-852,l2190,5742r-100,325l2353,5866r201,l2516,5742r263,-201xm2554,5866r-201,l2616,6067r-62,-201xm2353,5215r-100,326l2454,5541,2353,5215xe" fillcolor="#fac6bc" stroked="f">
              <v:stroke joinstyle="round"/>
              <v:formulas/>
              <v:path arrowok="t" o:connecttype="segments"/>
            </v:shape>
            <v:shape id="_x0000_s2250" style="position:absolute;left:1927;top:5215;width:852;height:852" coordorigin="1927,5215" coordsize="852,852" path="m1927,5541r326,l2353,5215r101,326l2779,5541r-263,201l2616,6067,2353,5866r-263,201l2190,5742,1927,5541xe" filled="f" strokecolor="#361109" strokeweight="1pt">
              <v:path arrowok="t"/>
            </v:shape>
            <v:shape id="_x0000_s2249" style="position:absolute;left:6688;top:4533;width:855;height:855" coordorigin="6689,4534" coordsize="855,855" o:spt="100" adj="0,,0" path="m7543,4860r-854,l6953,5062r-101,326l7116,5186r202,l7279,5062r264,-202xm7318,5186r-202,l7380,5388r-62,-202xm7116,4534r-101,326l7217,4860,7116,4534xe" fillcolor="#fac6bc" stroked="f">
              <v:stroke joinstyle="round"/>
              <v:formulas/>
              <v:path arrowok="t" o:connecttype="segments"/>
            </v:shape>
            <v:shape id="_x0000_s2248" style="position:absolute;left:6688;top:4533;width:855;height:855" coordorigin="6689,4534" coordsize="855,855" path="m6689,4860r326,l7116,4534r101,326l7543,4860r-264,202l7380,5388,7116,5186r-264,202l6953,5062,6689,4860xe" filled="f" strokecolor="#361109" strokeweight="1pt">
              <v:path arrowok="t"/>
            </v:shape>
            <v:shape id="_x0000_s2247" style="position:absolute;left:11220;top:3628;width:852;height:852" coordorigin="11220,3629" coordsize="852,852" o:spt="100" adj="0,,0" path="m12072,3954r-852,l11483,4155r-100,326l11646,4280r201,l11809,4155r263,-201xm11847,4280r-201,l11909,4481r-62,-201xm11646,3629r-101,325l11747,3954r-101,-325xe" fillcolor="#fac6bc" stroked="f">
              <v:stroke joinstyle="round"/>
              <v:formulas/>
              <v:path arrowok="t" o:connecttype="segments"/>
            </v:shape>
            <v:shape id="_x0000_s2246" style="position:absolute;left:11220;top:3628;width:852;height:852" coordorigin="11220,3629" coordsize="852,852" path="m11220,3954r325,l11646,3629r101,325l12072,3954r-263,201l11909,4481r-263,-201l11383,4481r100,-326l11220,3954xe" filled="f" strokecolor="#361109" strokeweight="1pt">
              <v:path arrowok="t"/>
            </v:shape>
            <w10:anchorlock/>
          </v:group>
        </w:pict>
      </w:r>
    </w:p>
    <w:p w14:paraId="2F37498D" w14:textId="77777777" w:rsidR="004634C9" w:rsidRDefault="004634C9">
      <w:pPr>
        <w:pStyle w:val="a3"/>
        <w:rPr>
          <w:sz w:val="4"/>
        </w:rPr>
      </w:pPr>
    </w:p>
    <w:p w14:paraId="770D7246" w14:textId="77777777" w:rsidR="004634C9" w:rsidRDefault="00000000">
      <w:pPr>
        <w:spacing w:before="29" w:line="497" w:lineRule="exact"/>
        <w:ind w:left="559"/>
        <w:rPr>
          <w:sz w:val="28"/>
        </w:rPr>
      </w:pPr>
      <w:bookmarkStart w:id="5" w:name="幻灯片_6"/>
      <w:bookmarkEnd w:id="5"/>
      <w:r>
        <w:rPr>
          <w:color w:val="7E7E7E"/>
          <w:sz w:val="28"/>
        </w:rPr>
        <w:t>资料来源：Wind、万联证券研究所</w:t>
      </w:r>
    </w:p>
    <w:p w14:paraId="59E5CF47" w14:textId="77777777" w:rsidR="004634C9" w:rsidRDefault="004634C9">
      <w:pPr>
        <w:spacing w:line="497" w:lineRule="exact"/>
        <w:rPr>
          <w:sz w:val="28"/>
        </w:rPr>
        <w:sectPr w:rsidR="004634C9">
          <w:headerReference w:type="default" r:id="rId14"/>
          <w:pgSz w:w="19200" w:h="10800" w:orient="landscape"/>
          <w:pgMar w:top="1200" w:right="0" w:bottom="0" w:left="0" w:header="523" w:footer="0" w:gutter="0"/>
          <w:cols w:space="720"/>
        </w:sectPr>
      </w:pPr>
    </w:p>
    <w:p w14:paraId="604DCDB4" w14:textId="77777777" w:rsidR="004634C9" w:rsidRDefault="00000000">
      <w:pPr>
        <w:pStyle w:val="a3"/>
        <w:spacing w:before="4"/>
        <w:rPr>
          <w:sz w:val="14"/>
        </w:rPr>
      </w:pPr>
      <w:r>
        <w:rPr>
          <w:noProof/>
        </w:rPr>
        <w:lastRenderedPageBreak/>
        <w:drawing>
          <wp:anchor distT="0" distB="0" distL="0" distR="0" simplePos="0" relativeHeight="251673600" behindDoc="0" locked="0" layoutInCell="1" allowOverlap="1" wp14:anchorId="79675C08" wp14:editId="0D42911A">
            <wp:simplePos x="0" y="0"/>
            <wp:positionH relativeFrom="page">
              <wp:posOffset>9552431</wp:posOffset>
            </wp:positionH>
            <wp:positionV relativeFrom="page">
              <wp:posOffset>332231</wp:posOffset>
            </wp:positionV>
            <wp:extent cx="2231135" cy="438911"/>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4DC53F07">
          <v:group id="_x0000_s2242" style="position:absolute;margin-left:31.2pt;margin-top:26.15pt;width:52.95pt;height:28.45pt;z-index:251674624;mso-position-horizontal-relative:page;mso-position-vertical-relative:page" coordorigin="624,523" coordsize="1059,569">
            <v:shape id="_x0000_s2244" style="position:absolute;left:624;top:535;width:586;height:557" coordorigin="624,535" coordsize="586,557" path="m931,535r-307,l902,814,624,1092r307,l1210,814,931,535xe" fillcolor="#be1b1b" stroked="f">
              <v:path arrowok="t"/>
            </v:shape>
            <v:shape id="_x0000_s2243" style="position:absolute;left:1096;top:523;width:586;height:557" coordorigin="1097,523" coordsize="586,557" path="m1404,523r-307,l1375,802r-278,278l1404,1080,1682,802,1404,523xe" fillcolor="#d9d9d9" stroked="f">
              <v:path arrowok="t"/>
            </v:shape>
            <w10:wrap anchorx="page" anchory="page"/>
          </v:group>
        </w:pict>
      </w:r>
      <w:r>
        <w:pict w14:anchorId="230FCC4E">
          <v:shape id="_x0000_s2241" style="position:absolute;margin-left:97.45pt;margin-top:33.9pt;width:25.25pt;height:14.4pt;z-index:251675648;mso-position-horizontal-relative:page;mso-position-vertical-relative:page" coordorigin="1949,678" coordsize="505,288" o:spt="100" adj="0,,0" path="m2075,759r-55,l2020,966r55,l2075,759xm2075,678r-45,l2025,691r-8,12l2007,714r-11,10l1983,733r-12,8l1960,746r-11,5l1949,801r20,-8l1987,783r17,-11l2020,759r55,l2075,678xm2224,911r-55,l2169,966r55,l2224,911xm2446,724r-73,l2382,727r13,13l2398,750r,23l2395,784r-8,12l2381,803r-10,10l2358,827r-17,16l2320,863r-17,18l2289,897r-9,14l2273,925r-6,13l2263,952r-2,14l2454,966r,-51l2344,915r3,-5l2351,905r5,-5l2360,895r7,-7l2377,879r12,-11l2401,857r10,-10l2419,839r6,-7l2432,822r6,-9l2443,804r4,-9l2451,783r3,-12l2454,758r-2,-16l2447,727r-1,-3xm2363,678r-19,1l2327,683r-15,6l2298,698r-12,11l2277,724r-6,18l2267,763r55,6l2323,753r4,-12l2334,734r7,-7l2350,724r96,l2440,713r-11,-12l2416,691r-16,-7l2383,680r-20,-2xe" fillcolor="#0d0d0d" stroked="f">
            <v:stroke joinstyle="round"/>
            <v:formulas/>
            <v:path arrowok="t" o:connecttype="segments"/>
            <w10:wrap anchorx="page" anchory="page"/>
          </v:shape>
        </w:pict>
      </w:r>
      <w:r>
        <w:pict w14:anchorId="301DA13B">
          <v:group id="_x0000_s2238" style="position:absolute;margin-left:129.45pt;margin-top:31.45pt;width:387pt;height:19.85pt;z-index:251676672;mso-position-horizontal-relative:page;mso-position-vertical-relative:page" coordorigin="2589,629" coordsize="7740,397">
            <v:shape id="_x0000_s2240" style="position:absolute;left:2589;top:631;width:1973;height:395" coordorigin="2589,631" coordsize="1973,395" o:spt="100" adj="0,,0" path="m2644,632r-43,27l2612,677r11,18l2634,714r11,18l2658,724r13,-8l2682,710r10,-6l2680,685r-13,-19l2656,649r-12,-17xm2977,949r-278,l2699,1001r278,l2977,949xm2674,751r-85,l2589,802r31,l2620,926r,12l2617,947r-7,8l2634,999r23,-19l2678,963r21,-16l2718,933r-4,-17l2713,907r-39,l2674,751xm2784,753r-53,l2731,949r53,l2784,753xm2879,710r-52,l2827,949r52,l2879,850r83,l2962,799r-83,l2879,710xm2708,880r-34,27l2713,907r-1,-6l2710,889r-2,-9xm2972,658r-260,l2712,710r260,l2972,658xm3268,737r-36,39l3253,793r19,16l3290,825r16,15l3345,799r-15,-13l3312,771r-21,-17l3268,737xm3155,633r-55,l3100,837r55,l3155,790r54,l3218,772r1,l3155,772r,-139xm3209,790r-54,l3166,796r10,5l3186,807r10,6l3207,793r2,-3xm3208,631r-8,37l3188,704r-15,34l3155,772r64,l3228,751r9,-21l3372,730r,-50l3254,680r3,-10l3259,660r3,-10l3264,640r-56,-9xm3071,650r-54,l3017,822r54,l3071,650xm3378,957r-389,l2989,1006r389,l3378,957xm3339,842r-311,l3028,957r55,l3083,890r256,l3339,842xm3167,890r-51,l3116,957r51,l3167,890xm3250,890r-50,l3200,957r50,l3250,890xm3339,890r-56,l3283,957r56,l3339,890xm3742,999r-61,l3688,1008r5,9l3699,1025r43,-26xm3569,895r-68,l3484,917r-18,19l3448,953r-18,14l3454,1014r11,-2l3476,1010r10,-1l3495,1008r146,-7l3681,999r61,l3747,996r-21,-27l3714,954r-196,l3533,938r13,-15l3559,908r10,-13xm3667,895r-15,l3618,915r7,9l3632,933r13,17l3572,953r-29,1l3518,954r196,l3705,943r-19,-25l3667,895xm3764,845r-359,l3405,895r359,l3764,845xm3768,786r-79,l3702,794r13,9l3729,811r15,8l3751,808r9,-11l3768,786xm3627,633r-67,l3533,669r-37,34l3448,738r-59,34l3400,786r10,13l3418,809r6,9l3439,809r14,-8l3466,792r13,-8l3770,784r9,-11l3762,764r-256,l3529,745r21,-18l3569,708r15,-18l3653,690r-8,-8l3616,647r11,-14xm3770,784r-291,l3479,813r210,l3689,786r79,l3770,784xm3653,690r-69,l3600,709r18,19l3638,746r21,18l3762,764r-36,-19l3682,715r-29,-25xm3894,747r-20,l3866,750r-14,13l3849,770r,19l3852,796r14,13l3874,812r20,l3903,809r14,-13l3920,789r,-19l3917,762r-7,-6l3903,750r-9,-3xm3894,906r-20,l3866,909r-7,7l3852,922r-3,8l3849,948r3,8l3859,962r7,6l3874,972r20,l3903,968r14,-12l3920,948r,-18l3917,922r-14,-13l3894,906xm4562,658r-39,l4484,752r54,l4562,658xm4477,658r-40,l4398,752r55,l4477,658xe" fillcolor="#0d0d0d" stroked="f">
              <v:stroke joinstyle="round"/>
              <v:formulas/>
              <v:path arrowok="t" o:connecttype="segments"/>
            </v:shape>
            <v:shape id="_x0000_s2239" type="#_x0000_t75" style="position:absolute;left:4617;top:629;width:5711;height:392">
              <v:imagedata r:id="rId15" o:title=""/>
            </v:shape>
            <w10:wrap anchorx="page" anchory="page"/>
          </v:group>
        </w:pict>
      </w:r>
    </w:p>
    <w:p w14:paraId="23D95659" w14:textId="77777777" w:rsidR="004634C9" w:rsidRDefault="00000000">
      <w:pPr>
        <w:pStyle w:val="a4"/>
        <w:numPr>
          <w:ilvl w:val="0"/>
          <w:numId w:val="12"/>
        </w:numPr>
        <w:tabs>
          <w:tab w:val="left" w:pos="959"/>
        </w:tabs>
        <w:spacing w:before="16"/>
        <w:rPr>
          <w:sz w:val="32"/>
        </w:rPr>
      </w:pPr>
      <w:bookmarkStart w:id="6" w:name="幻灯片_7"/>
      <w:bookmarkEnd w:id="6"/>
      <w:r>
        <w:rPr>
          <w:sz w:val="32"/>
        </w:rPr>
        <w:t>证监会出台六项政策配套新“国九条”，涉及发行监管、持续监管、交易监管、中介监管，进一步强化“严监管防风险推动资</w:t>
      </w:r>
    </w:p>
    <w:p w14:paraId="63D253A5" w14:textId="77777777" w:rsidR="004634C9" w:rsidRDefault="00000000">
      <w:pPr>
        <w:pStyle w:val="a3"/>
        <w:spacing w:line="564" w:lineRule="exact"/>
        <w:ind w:left="913"/>
      </w:pPr>
      <w:r>
        <w:t>本市场高质量发展”的政策主线。</w:t>
      </w:r>
    </w:p>
    <w:p w14:paraId="16DFCD71" w14:textId="77777777" w:rsidR="004634C9" w:rsidRDefault="00000000">
      <w:pPr>
        <w:pStyle w:val="a3"/>
        <w:spacing w:before="2"/>
        <w:rPr>
          <w:sz w:val="7"/>
        </w:rPr>
      </w:pPr>
      <w:r>
        <w:rPr>
          <w:noProof/>
        </w:rPr>
        <w:drawing>
          <wp:anchor distT="0" distB="0" distL="0" distR="0" simplePos="0" relativeHeight="14" behindDoc="0" locked="0" layoutInCell="1" allowOverlap="1" wp14:anchorId="7BBF268D" wp14:editId="6F36F26B">
            <wp:simplePos x="0" y="0"/>
            <wp:positionH relativeFrom="page">
              <wp:posOffset>937260</wp:posOffset>
            </wp:positionH>
            <wp:positionV relativeFrom="paragraph">
              <wp:posOffset>108521</wp:posOffset>
            </wp:positionV>
            <wp:extent cx="10374926" cy="4816602"/>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10374926" cy="4816602"/>
                    </a:xfrm>
                    <a:prstGeom prst="rect">
                      <a:avLst/>
                    </a:prstGeom>
                  </pic:spPr>
                </pic:pic>
              </a:graphicData>
            </a:graphic>
          </wp:anchor>
        </w:drawing>
      </w:r>
    </w:p>
    <w:p w14:paraId="22D91C21" w14:textId="77777777" w:rsidR="004634C9" w:rsidRDefault="00000000">
      <w:pPr>
        <w:spacing w:line="394" w:lineRule="exact"/>
        <w:ind w:left="1619"/>
        <w:rPr>
          <w:sz w:val="28"/>
        </w:rPr>
      </w:pPr>
      <w:r>
        <w:rPr>
          <w:color w:val="7E7E7E"/>
          <w:sz w:val="28"/>
        </w:rPr>
        <w:t>资料来源：证监会、万联证券研究所</w:t>
      </w:r>
    </w:p>
    <w:p w14:paraId="7E18DAAD" w14:textId="77777777" w:rsidR="004634C9" w:rsidRDefault="004634C9">
      <w:pPr>
        <w:spacing w:line="394" w:lineRule="exact"/>
        <w:rPr>
          <w:sz w:val="28"/>
        </w:rPr>
        <w:sectPr w:rsidR="004634C9">
          <w:pgSz w:w="19200" w:h="10800" w:orient="landscape"/>
          <w:pgMar w:top="1200" w:right="0" w:bottom="0" w:left="0" w:header="523" w:footer="0" w:gutter="0"/>
          <w:cols w:space="720"/>
        </w:sectPr>
      </w:pPr>
    </w:p>
    <w:p w14:paraId="1A8A23FF" w14:textId="77777777" w:rsidR="004634C9" w:rsidRDefault="00000000">
      <w:pPr>
        <w:pStyle w:val="a4"/>
        <w:numPr>
          <w:ilvl w:val="1"/>
          <w:numId w:val="12"/>
        </w:numPr>
        <w:tabs>
          <w:tab w:val="left" w:pos="1250"/>
        </w:tabs>
        <w:spacing w:before="5"/>
        <w:ind w:left="1249"/>
        <w:rPr>
          <w:sz w:val="32"/>
        </w:rPr>
      </w:pPr>
      <w:r>
        <w:lastRenderedPageBreak/>
        <w:pict w14:anchorId="29FEF52C">
          <v:shape id="_x0000_s2237" style="position:absolute;left:0;text-align:left;margin-left:97.45pt;margin-top:33.9pt;width:25.4pt;height:14.65pt;z-index:251678720;mso-position-horizontal-relative:page;mso-position-vertical-relative:page" coordorigin="1949,678" coordsize="508,293" o:spt="100" adj="0,,0" path="m2075,759r-55,l2020,966r55,l2075,759xm2075,678r-45,l2025,691r-8,12l2007,714r-11,10l1983,733r-12,8l1960,746r-11,5l1949,801r20,-8l1987,783r17,-11l2020,759r55,l2075,678xm2224,911r-55,l2169,966r55,l2224,911xm2319,884r-53,6l2269,907r6,16l2284,937r12,12l2309,959r16,7l2342,970r18,1l2380,970r18,-6l2414,956r15,-12l2441,930r3,-4l2349,926r-9,-4l2325,908r-4,-11l2319,884xm2439,833r-67,l2382,837r7,8l2396,853r4,11l2400,892r-4,12l2381,921r-10,5l2444,926r6,-11l2455,898r1,-18l2455,868r-2,-12l2448,845r-6,-9l2439,833xm2437,723r-71,l2374,726r6,6l2385,738r3,7l2388,766r-4,10l2369,789r-12,3l2343,792r-7,45l2346,834r9,-1l2439,833r-5,-6l2424,821r-10,-6l2402,812r18,-12l2427,792r-70,l2343,792r84,l2433,786r8,-16l2444,752r-2,-13l2439,727r-1,-1l2437,723xm2358,678r-11,1l2336,680r-11,3l2316,687r-13,6l2293,701r-7,11l2281,720r-4,10l2273,741r-3,12l2321,762r1,-13l2326,740r7,-7l2339,727r8,-4l2437,723r-5,-8l2423,704r-13,-11l2395,685r-17,-5l2358,678xe" fillcolor="#0d0d0d" stroked="f">
            <v:stroke joinstyle="round"/>
            <v:formulas/>
            <v:path arrowok="t" o:connecttype="segments"/>
            <w10:wrap anchorx="page" anchory="page"/>
          </v:shape>
        </w:pict>
      </w:r>
      <w:r>
        <w:rPr>
          <w:noProof/>
        </w:rPr>
        <w:drawing>
          <wp:anchor distT="0" distB="0" distL="0" distR="0" simplePos="0" relativeHeight="251679744" behindDoc="0" locked="0" layoutInCell="1" allowOverlap="1" wp14:anchorId="35106E07" wp14:editId="5259E29A">
            <wp:simplePos x="0" y="0"/>
            <wp:positionH relativeFrom="page">
              <wp:posOffset>1647063</wp:posOffset>
            </wp:positionH>
            <wp:positionV relativeFrom="page">
              <wp:posOffset>398652</wp:posOffset>
            </wp:positionV>
            <wp:extent cx="5582285" cy="25133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5582285" cy="251333"/>
                    </a:xfrm>
                    <a:prstGeom prst="rect">
                      <a:avLst/>
                    </a:prstGeom>
                  </pic:spPr>
                </pic:pic>
              </a:graphicData>
            </a:graphic>
          </wp:anchor>
        </w:drawing>
      </w:r>
      <w:bookmarkStart w:id="7" w:name="幻灯片_8"/>
      <w:bookmarkEnd w:id="7"/>
      <w:r>
        <w:rPr>
          <w:sz w:val="32"/>
        </w:rPr>
        <w:t>沪深北交易所出台一系列配套规则，全生命周期加强上市公司监管力度：</w:t>
      </w:r>
    </w:p>
    <w:p w14:paraId="4093BEEF" w14:textId="77777777" w:rsidR="004634C9" w:rsidRDefault="00000000">
      <w:pPr>
        <w:pStyle w:val="a4"/>
        <w:numPr>
          <w:ilvl w:val="0"/>
          <w:numId w:val="11"/>
        </w:numPr>
        <w:tabs>
          <w:tab w:val="left" w:pos="1384"/>
          <w:tab w:val="left" w:pos="1385"/>
        </w:tabs>
        <w:spacing w:line="538" w:lineRule="exact"/>
        <w:rPr>
          <w:sz w:val="32"/>
        </w:rPr>
      </w:pPr>
      <w:r>
        <w:rPr>
          <w:b/>
          <w:i/>
          <w:sz w:val="32"/>
        </w:rPr>
        <w:t>上市审核：</w:t>
      </w:r>
      <w:r>
        <w:rPr>
          <w:sz w:val="32"/>
        </w:rPr>
        <w:t>主板、创业板提升利润标准，科创板提升科创属性要求；</w:t>
      </w:r>
    </w:p>
    <w:p w14:paraId="7F10B3BB" w14:textId="77777777" w:rsidR="004634C9" w:rsidRDefault="00000000">
      <w:pPr>
        <w:pStyle w:val="a4"/>
        <w:numPr>
          <w:ilvl w:val="0"/>
          <w:numId w:val="11"/>
        </w:numPr>
        <w:tabs>
          <w:tab w:val="left" w:pos="1384"/>
          <w:tab w:val="left" w:pos="1385"/>
        </w:tabs>
        <w:spacing w:line="538" w:lineRule="exact"/>
        <w:rPr>
          <w:sz w:val="32"/>
        </w:rPr>
      </w:pPr>
      <w:r>
        <w:rPr>
          <w:b/>
          <w:i/>
          <w:sz w:val="32"/>
        </w:rPr>
        <w:t>持续监管：</w:t>
      </w:r>
      <w:r>
        <w:rPr>
          <w:spacing w:val="-1"/>
          <w:sz w:val="32"/>
        </w:rPr>
        <w:t>多方位限制无序</w:t>
      </w:r>
      <w:r>
        <w:rPr>
          <w:rFonts w:ascii="Arial" w:eastAsia="Arial" w:hAnsi="Arial"/>
          <w:sz w:val="32"/>
        </w:rPr>
        <w:t>/</w:t>
      </w:r>
      <w:r>
        <w:rPr>
          <w:sz w:val="32"/>
        </w:rPr>
        <w:t>绕道减持；警示有能力但不分红的上市公司；</w:t>
      </w:r>
    </w:p>
    <w:p w14:paraId="3ECC1621" w14:textId="77777777" w:rsidR="004634C9" w:rsidRDefault="00000000">
      <w:pPr>
        <w:pStyle w:val="a4"/>
        <w:numPr>
          <w:ilvl w:val="0"/>
          <w:numId w:val="11"/>
        </w:numPr>
        <w:tabs>
          <w:tab w:val="left" w:pos="1384"/>
          <w:tab w:val="left" w:pos="1385"/>
        </w:tabs>
        <w:rPr>
          <w:sz w:val="32"/>
        </w:rPr>
      </w:pPr>
      <w:r>
        <w:rPr>
          <w:noProof/>
        </w:rPr>
        <w:drawing>
          <wp:anchor distT="0" distB="0" distL="0" distR="0" simplePos="0" relativeHeight="19" behindDoc="0" locked="0" layoutInCell="1" allowOverlap="1" wp14:anchorId="5D57028A" wp14:editId="6E0944BE">
            <wp:simplePos x="0" y="0"/>
            <wp:positionH relativeFrom="page">
              <wp:posOffset>1135380</wp:posOffset>
            </wp:positionH>
            <wp:positionV relativeFrom="paragraph">
              <wp:posOffset>429655</wp:posOffset>
            </wp:positionV>
            <wp:extent cx="9940996" cy="421767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9940996" cy="4217670"/>
                    </a:xfrm>
                    <a:prstGeom prst="rect">
                      <a:avLst/>
                    </a:prstGeom>
                  </pic:spPr>
                </pic:pic>
              </a:graphicData>
            </a:graphic>
          </wp:anchor>
        </w:drawing>
      </w:r>
      <w:r>
        <w:rPr>
          <w:b/>
          <w:i/>
          <w:sz w:val="32"/>
        </w:rPr>
        <w:t>加强退市：</w:t>
      </w:r>
      <w:r>
        <w:rPr>
          <w:sz w:val="32"/>
        </w:rPr>
        <w:t>加大退市力度，强化退市监管。</w:t>
      </w:r>
    </w:p>
    <w:p w14:paraId="3679B9F2" w14:textId="77777777" w:rsidR="004634C9" w:rsidRDefault="00000000">
      <w:pPr>
        <w:spacing w:before="116" w:line="477" w:lineRule="exact"/>
        <w:ind w:left="1959"/>
        <w:rPr>
          <w:sz w:val="28"/>
        </w:rPr>
      </w:pPr>
      <w:r>
        <w:rPr>
          <w:color w:val="7E7E7E"/>
          <w:sz w:val="28"/>
        </w:rPr>
        <w:t>资料来源：上交所，深交所，北交所，万联证券研究所</w:t>
      </w:r>
    </w:p>
    <w:p w14:paraId="76DF371A" w14:textId="77777777" w:rsidR="004634C9" w:rsidRDefault="004634C9">
      <w:pPr>
        <w:spacing w:line="477" w:lineRule="exact"/>
        <w:rPr>
          <w:sz w:val="28"/>
        </w:rPr>
        <w:sectPr w:rsidR="004634C9">
          <w:headerReference w:type="default" r:id="rId19"/>
          <w:pgSz w:w="19200" w:h="10800" w:orient="landscape"/>
          <w:pgMar w:top="1200" w:right="0" w:bottom="0" w:left="0" w:header="523" w:footer="0" w:gutter="0"/>
          <w:cols w:space="720"/>
        </w:sectPr>
      </w:pPr>
    </w:p>
    <w:p w14:paraId="6C51D781" w14:textId="77777777" w:rsidR="004634C9" w:rsidRDefault="004634C9">
      <w:pPr>
        <w:pStyle w:val="a3"/>
        <w:rPr>
          <w:sz w:val="20"/>
        </w:rPr>
      </w:pPr>
    </w:p>
    <w:p w14:paraId="1AC561D5" w14:textId="77777777" w:rsidR="004634C9" w:rsidRDefault="004634C9">
      <w:pPr>
        <w:pStyle w:val="a3"/>
        <w:rPr>
          <w:sz w:val="20"/>
        </w:rPr>
      </w:pPr>
    </w:p>
    <w:p w14:paraId="2146E67F" w14:textId="77777777" w:rsidR="004634C9" w:rsidRDefault="004634C9">
      <w:pPr>
        <w:pStyle w:val="a3"/>
        <w:rPr>
          <w:sz w:val="20"/>
        </w:rPr>
      </w:pPr>
    </w:p>
    <w:p w14:paraId="38055FDE" w14:textId="77777777" w:rsidR="004634C9" w:rsidRDefault="004634C9">
      <w:pPr>
        <w:pStyle w:val="a3"/>
        <w:rPr>
          <w:sz w:val="20"/>
        </w:rPr>
      </w:pPr>
    </w:p>
    <w:p w14:paraId="413B974C" w14:textId="77777777" w:rsidR="004634C9" w:rsidRDefault="004634C9">
      <w:pPr>
        <w:pStyle w:val="a3"/>
        <w:rPr>
          <w:sz w:val="20"/>
        </w:rPr>
      </w:pPr>
    </w:p>
    <w:p w14:paraId="26281BAC" w14:textId="77777777" w:rsidR="004634C9" w:rsidRDefault="004634C9">
      <w:pPr>
        <w:pStyle w:val="a3"/>
        <w:spacing w:before="12"/>
        <w:rPr>
          <w:sz w:val="23"/>
        </w:rPr>
      </w:pPr>
    </w:p>
    <w:p w14:paraId="6BBA5FE3" w14:textId="77777777" w:rsidR="004634C9" w:rsidRDefault="00000000">
      <w:pPr>
        <w:tabs>
          <w:tab w:val="left" w:pos="883"/>
          <w:tab w:val="left" w:pos="19199"/>
        </w:tabs>
        <w:spacing w:line="1619" w:lineRule="exact"/>
        <w:rPr>
          <w:b/>
          <w:i/>
          <w:sz w:val="96"/>
        </w:rPr>
      </w:pPr>
      <w:bookmarkStart w:id="8" w:name="幻灯片_9:_2._上市：审核趋严，标准提高，强调定位"/>
      <w:bookmarkEnd w:id="8"/>
      <w:r>
        <w:rPr>
          <w:b/>
          <w:color w:val="FFFFFF"/>
          <w:sz w:val="96"/>
          <w:shd w:val="clear" w:color="auto" w:fill="C00000"/>
        </w:rPr>
        <w:t xml:space="preserve"> </w:t>
      </w:r>
      <w:r>
        <w:rPr>
          <w:b/>
          <w:color w:val="FFFFFF"/>
          <w:sz w:val="96"/>
          <w:shd w:val="clear" w:color="auto" w:fill="C00000"/>
        </w:rPr>
        <w:tab/>
        <w:t>2.</w:t>
      </w:r>
      <w:r>
        <w:rPr>
          <w:b/>
          <w:color w:val="FFFFFF"/>
          <w:spacing w:val="-9"/>
          <w:sz w:val="96"/>
          <w:shd w:val="clear" w:color="auto" w:fill="C00000"/>
        </w:rPr>
        <w:t xml:space="preserve"> </w:t>
      </w:r>
      <w:r>
        <w:rPr>
          <w:b/>
          <w:i/>
          <w:color w:val="FFFFFF"/>
          <w:sz w:val="96"/>
          <w:shd w:val="clear" w:color="auto" w:fill="C00000"/>
        </w:rPr>
        <w:t>上市：审核趋严，标准提高，强调定位</w:t>
      </w:r>
      <w:r>
        <w:rPr>
          <w:b/>
          <w:i/>
          <w:color w:val="FFFFFF"/>
          <w:sz w:val="96"/>
          <w:shd w:val="clear" w:color="auto" w:fill="C00000"/>
        </w:rPr>
        <w:tab/>
      </w:r>
    </w:p>
    <w:p w14:paraId="67FD6F77" w14:textId="77777777" w:rsidR="004634C9" w:rsidRDefault="004634C9">
      <w:pPr>
        <w:spacing w:line="1619" w:lineRule="exact"/>
        <w:rPr>
          <w:sz w:val="96"/>
        </w:rPr>
        <w:sectPr w:rsidR="004634C9">
          <w:pgSz w:w="19200" w:h="10800" w:orient="landscape"/>
          <w:pgMar w:top="1200" w:right="0" w:bottom="280" w:left="0" w:header="523" w:footer="0" w:gutter="0"/>
          <w:cols w:space="720"/>
        </w:sectPr>
      </w:pPr>
    </w:p>
    <w:p w14:paraId="00AA0692" w14:textId="77777777" w:rsidR="004634C9" w:rsidRDefault="00000000">
      <w:pPr>
        <w:pStyle w:val="4"/>
        <w:spacing w:before="23" w:after="45"/>
        <w:ind w:left="5331" w:right="5331"/>
        <w:jc w:val="center"/>
      </w:pPr>
      <w:r>
        <w:lastRenderedPageBreak/>
        <w:pict w14:anchorId="749F1A57">
          <v:group id="_x0000_s2234" style="position:absolute;left:0;text-align:left;margin-left:45.7pt;margin-top:32.15pt;width:869.3pt;height:17.85pt;z-index:-253407232;mso-position-horizontal-relative:page" coordorigin="914,643" coordsize="17386,357">
            <v:rect id="_x0000_s2236" style="position:absolute;left:914;top:656;width:17386;height:343" fillcolor="#a40020" stroked="f"/>
            <v:shape id="_x0000_s2235" style="position:absolute;left:18299;top:642;width:2;height:15" coordorigin="18299,643" coordsize="0,15" path="m18299,657r,-14l18299,657xe" fillcolor="#dfdfdf" stroked="f">
              <v:path arrowok="t"/>
            </v:shape>
            <w10:wrap anchorx="page"/>
          </v:group>
        </w:pict>
      </w:r>
      <w:bookmarkStart w:id="9" w:name="幻灯片_10"/>
      <w:bookmarkEnd w:id="9"/>
      <w:r>
        <w:rPr>
          <w:color w:val="BE1B1B"/>
        </w:rPr>
        <w:t>主板、创业板、科创板板块定位</w:t>
      </w:r>
    </w:p>
    <w:tbl>
      <w:tblPr>
        <w:tblStyle w:val="TableNormal"/>
        <w:tblW w:w="0" w:type="auto"/>
        <w:tblInd w:w="915" w:type="dxa"/>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Look w:val="01E0" w:firstRow="1" w:lastRow="1" w:firstColumn="1" w:lastColumn="1" w:noHBand="0" w:noVBand="0"/>
      </w:tblPr>
      <w:tblGrid>
        <w:gridCol w:w="1142"/>
        <w:gridCol w:w="5466"/>
        <w:gridCol w:w="4896"/>
        <w:gridCol w:w="5881"/>
      </w:tblGrid>
      <w:tr w:rsidR="004634C9" w14:paraId="65B14462" w14:textId="77777777">
        <w:trPr>
          <w:trHeight w:val="328"/>
        </w:trPr>
        <w:tc>
          <w:tcPr>
            <w:tcW w:w="1142" w:type="dxa"/>
            <w:tcBorders>
              <w:top w:val="nil"/>
              <w:left w:val="nil"/>
              <w:right w:val="single" w:sz="6" w:space="0" w:color="FFFFFF"/>
            </w:tcBorders>
            <w:shd w:val="clear" w:color="auto" w:fill="A40020"/>
          </w:tcPr>
          <w:p w14:paraId="15CAB674" w14:textId="77777777" w:rsidR="004634C9" w:rsidRDefault="004634C9">
            <w:pPr>
              <w:pStyle w:val="TableParagraph"/>
              <w:rPr>
                <w:rFonts w:ascii="Times New Roman"/>
                <w:sz w:val="24"/>
              </w:rPr>
            </w:pPr>
          </w:p>
        </w:tc>
        <w:tc>
          <w:tcPr>
            <w:tcW w:w="5466" w:type="dxa"/>
            <w:tcBorders>
              <w:top w:val="nil"/>
              <w:left w:val="single" w:sz="6" w:space="0" w:color="FFFFFF"/>
              <w:right w:val="single" w:sz="6" w:space="0" w:color="FFFFFF"/>
            </w:tcBorders>
            <w:shd w:val="clear" w:color="auto" w:fill="A40020"/>
          </w:tcPr>
          <w:p w14:paraId="1CC64873" w14:textId="77777777" w:rsidR="004634C9" w:rsidRDefault="00000000">
            <w:pPr>
              <w:pStyle w:val="TableParagraph"/>
              <w:spacing w:line="308" w:lineRule="exact"/>
              <w:ind w:left="2450" w:right="2436"/>
              <w:jc w:val="center"/>
              <w:rPr>
                <w:rFonts w:ascii="Microsoft JhengHei" w:eastAsia="Microsoft JhengHei"/>
                <w:b/>
                <w:sz w:val="25"/>
              </w:rPr>
            </w:pPr>
            <w:r>
              <w:rPr>
                <w:rFonts w:ascii="Microsoft JhengHei" w:eastAsia="Microsoft JhengHei" w:hint="eastAsia"/>
                <w:b/>
                <w:color w:val="FFFFFF"/>
                <w:w w:val="105"/>
                <w:sz w:val="25"/>
              </w:rPr>
              <w:t>主板</w:t>
            </w:r>
          </w:p>
        </w:tc>
        <w:tc>
          <w:tcPr>
            <w:tcW w:w="4896" w:type="dxa"/>
            <w:tcBorders>
              <w:top w:val="nil"/>
              <w:left w:val="single" w:sz="6" w:space="0" w:color="FFFFFF"/>
              <w:right w:val="single" w:sz="6" w:space="0" w:color="FFFFFF"/>
            </w:tcBorders>
            <w:shd w:val="clear" w:color="auto" w:fill="A40020"/>
          </w:tcPr>
          <w:p w14:paraId="7DD62D9E" w14:textId="77777777" w:rsidR="004634C9" w:rsidRDefault="00000000">
            <w:pPr>
              <w:pStyle w:val="TableParagraph"/>
              <w:spacing w:line="308" w:lineRule="exact"/>
              <w:ind w:left="2026" w:right="2026"/>
              <w:jc w:val="center"/>
              <w:rPr>
                <w:rFonts w:ascii="Microsoft JhengHei" w:eastAsia="Microsoft JhengHei"/>
                <w:b/>
                <w:sz w:val="25"/>
              </w:rPr>
            </w:pPr>
            <w:r>
              <w:rPr>
                <w:rFonts w:ascii="Microsoft JhengHei" w:eastAsia="Microsoft JhengHei" w:hint="eastAsia"/>
                <w:b/>
                <w:color w:val="FFFFFF"/>
                <w:w w:val="105"/>
                <w:sz w:val="25"/>
              </w:rPr>
              <w:t>创业板</w:t>
            </w:r>
          </w:p>
        </w:tc>
        <w:tc>
          <w:tcPr>
            <w:tcW w:w="5881" w:type="dxa"/>
            <w:tcBorders>
              <w:top w:val="nil"/>
              <w:left w:val="single" w:sz="6" w:space="0" w:color="FFFFFF"/>
              <w:right w:val="single" w:sz="6" w:space="0" w:color="FFFFFF"/>
            </w:tcBorders>
            <w:shd w:val="clear" w:color="auto" w:fill="A40020"/>
          </w:tcPr>
          <w:p w14:paraId="1CA0F3AF" w14:textId="77777777" w:rsidR="004634C9" w:rsidRDefault="00000000">
            <w:pPr>
              <w:pStyle w:val="TableParagraph"/>
              <w:spacing w:line="308" w:lineRule="exact"/>
              <w:ind w:left="2525" w:right="2512"/>
              <w:jc w:val="center"/>
              <w:rPr>
                <w:rFonts w:ascii="Microsoft JhengHei" w:eastAsia="Microsoft JhengHei"/>
                <w:b/>
                <w:sz w:val="25"/>
              </w:rPr>
            </w:pPr>
            <w:r>
              <w:rPr>
                <w:rFonts w:ascii="Microsoft JhengHei" w:eastAsia="Microsoft JhengHei" w:hint="eastAsia"/>
                <w:b/>
                <w:color w:val="FFFFFF"/>
                <w:w w:val="105"/>
                <w:sz w:val="25"/>
              </w:rPr>
              <w:t>科创板</w:t>
            </w:r>
          </w:p>
        </w:tc>
      </w:tr>
      <w:tr w:rsidR="004634C9" w14:paraId="6902E150" w14:textId="77777777">
        <w:trPr>
          <w:trHeight w:val="1355"/>
        </w:trPr>
        <w:tc>
          <w:tcPr>
            <w:tcW w:w="1142" w:type="dxa"/>
          </w:tcPr>
          <w:p w14:paraId="5C994C33" w14:textId="77777777" w:rsidR="004634C9" w:rsidRDefault="004634C9">
            <w:pPr>
              <w:pStyle w:val="TableParagraph"/>
              <w:rPr>
                <w:rFonts w:ascii="微软雅黑"/>
                <w:b/>
                <w:i/>
                <w:sz w:val="29"/>
              </w:rPr>
            </w:pPr>
          </w:p>
          <w:p w14:paraId="000D3040" w14:textId="77777777" w:rsidR="004634C9" w:rsidRDefault="00000000">
            <w:pPr>
              <w:pStyle w:val="TableParagraph"/>
              <w:ind w:left="49"/>
              <w:rPr>
                <w:sz w:val="25"/>
              </w:rPr>
            </w:pPr>
            <w:r>
              <w:rPr>
                <w:w w:val="105"/>
                <w:sz w:val="25"/>
              </w:rPr>
              <w:t>板块定位</w:t>
            </w:r>
          </w:p>
        </w:tc>
        <w:tc>
          <w:tcPr>
            <w:tcW w:w="5466" w:type="dxa"/>
          </w:tcPr>
          <w:p w14:paraId="1500B40F" w14:textId="77777777" w:rsidR="004634C9" w:rsidRDefault="00000000">
            <w:pPr>
              <w:pStyle w:val="TableParagraph"/>
              <w:spacing w:before="192" w:line="256" w:lineRule="auto"/>
              <w:ind w:left="49" w:right="265"/>
              <w:jc w:val="both"/>
              <w:rPr>
                <w:sz w:val="25"/>
              </w:rPr>
            </w:pPr>
            <w:r>
              <w:rPr>
                <w:sz w:val="25"/>
              </w:rPr>
              <w:t>突出“大盘蓝筹”特色，重点支持业务模式成熟、经营业绩稳定、规模较大、具有行业代表</w:t>
            </w:r>
            <w:r>
              <w:rPr>
                <w:w w:val="105"/>
                <w:sz w:val="25"/>
              </w:rPr>
              <w:t>性的优质企业</w:t>
            </w:r>
          </w:p>
        </w:tc>
        <w:tc>
          <w:tcPr>
            <w:tcW w:w="4896" w:type="dxa"/>
          </w:tcPr>
          <w:p w14:paraId="57086EC1" w14:textId="77777777" w:rsidR="004634C9" w:rsidRDefault="00000000">
            <w:pPr>
              <w:pStyle w:val="TableParagraph"/>
              <w:spacing w:before="192" w:line="256" w:lineRule="auto"/>
              <w:ind w:left="49" w:right="208"/>
              <w:jc w:val="both"/>
              <w:rPr>
                <w:sz w:val="25"/>
              </w:rPr>
            </w:pPr>
            <w:r>
              <w:rPr>
                <w:sz w:val="25"/>
              </w:rPr>
              <w:t>主要服务成长型创新创业企业，进一步从促进新质生产力发展要求出发，突出“三</w:t>
            </w:r>
            <w:r>
              <w:rPr>
                <w:w w:val="105"/>
                <w:sz w:val="25"/>
              </w:rPr>
              <w:t>创”“四新”标准</w:t>
            </w:r>
          </w:p>
        </w:tc>
        <w:tc>
          <w:tcPr>
            <w:tcW w:w="5881" w:type="dxa"/>
          </w:tcPr>
          <w:p w14:paraId="798DB84C" w14:textId="77777777" w:rsidR="004634C9" w:rsidRDefault="00000000">
            <w:pPr>
              <w:pStyle w:val="TableParagraph"/>
              <w:spacing w:before="21" w:line="256" w:lineRule="auto"/>
              <w:ind w:left="50" w:right="166"/>
              <w:rPr>
                <w:sz w:val="25"/>
              </w:rPr>
            </w:pPr>
            <w:r>
              <w:rPr>
                <w:sz w:val="25"/>
              </w:rPr>
              <w:t>主要服务于符合国家战略，拥有关键核心技术，科</w:t>
            </w:r>
            <w:r>
              <w:rPr>
                <w:w w:val="105"/>
                <w:sz w:val="25"/>
              </w:rPr>
              <w:t>技创新能力突出，主要依靠核心技术开展生产经</w:t>
            </w:r>
            <w:r>
              <w:rPr>
                <w:sz w:val="25"/>
              </w:rPr>
              <w:t>营，具有稳定的商业模式，市场认可度高，社会形</w:t>
            </w:r>
          </w:p>
          <w:p w14:paraId="4CE42F99" w14:textId="77777777" w:rsidR="004634C9" w:rsidRDefault="00000000">
            <w:pPr>
              <w:pStyle w:val="TableParagraph"/>
              <w:spacing w:line="286" w:lineRule="exact"/>
              <w:ind w:left="50"/>
              <w:rPr>
                <w:sz w:val="25"/>
              </w:rPr>
            </w:pPr>
            <w:r>
              <w:rPr>
                <w:w w:val="105"/>
                <w:sz w:val="25"/>
              </w:rPr>
              <w:t>象良好，具有较强成长性的企业</w:t>
            </w:r>
          </w:p>
        </w:tc>
      </w:tr>
    </w:tbl>
    <w:p w14:paraId="2E8AA702" w14:textId="77777777" w:rsidR="004634C9" w:rsidRDefault="004634C9">
      <w:pPr>
        <w:spacing w:line="286" w:lineRule="exact"/>
        <w:rPr>
          <w:sz w:val="25"/>
        </w:rPr>
        <w:sectPr w:rsidR="004634C9">
          <w:pgSz w:w="19200" w:h="10800" w:orient="landscape"/>
          <w:pgMar w:top="1200" w:right="0" w:bottom="0" w:left="0" w:header="523" w:footer="0" w:gutter="0"/>
          <w:cols w:space="720"/>
        </w:sectPr>
      </w:pPr>
    </w:p>
    <w:p w14:paraId="1835D59D" w14:textId="77777777" w:rsidR="004634C9" w:rsidRDefault="00000000">
      <w:pPr>
        <w:spacing w:before="17"/>
        <w:ind w:left="1044"/>
        <w:rPr>
          <w:sz w:val="28"/>
        </w:rPr>
      </w:pPr>
      <w:r>
        <w:rPr>
          <w:color w:val="7E7E7E"/>
          <w:sz w:val="28"/>
        </w:rPr>
        <w:t>资料来源：证监会官网，沪深交易所官网，万联证券研究所</w:t>
      </w:r>
    </w:p>
    <w:p w14:paraId="6450B25D" w14:textId="77777777" w:rsidR="004634C9" w:rsidRDefault="00000000">
      <w:pPr>
        <w:pStyle w:val="4"/>
        <w:spacing w:before="105"/>
        <w:ind w:left="1748"/>
      </w:pPr>
      <w:r>
        <w:rPr>
          <w:color w:val="BE1B1B"/>
        </w:rPr>
        <w:t>主板、创业板、科创板个股总市值分布情况</w:t>
      </w:r>
    </w:p>
    <w:p w14:paraId="06D77AD2" w14:textId="77777777" w:rsidR="004634C9" w:rsidRDefault="00000000">
      <w:pPr>
        <w:pStyle w:val="a3"/>
        <w:spacing w:before="11"/>
        <w:rPr>
          <w:b/>
          <w:i/>
          <w:sz w:val="34"/>
        </w:rPr>
      </w:pPr>
      <w:r>
        <w:br w:type="column"/>
      </w:r>
    </w:p>
    <w:p w14:paraId="138F8662" w14:textId="77777777" w:rsidR="004634C9" w:rsidRDefault="00000000">
      <w:pPr>
        <w:spacing w:before="1"/>
        <w:ind w:left="1044"/>
        <w:rPr>
          <w:b/>
          <w:i/>
          <w:sz w:val="32"/>
        </w:rPr>
      </w:pPr>
      <w:r>
        <w:rPr>
          <w:b/>
          <w:i/>
          <w:color w:val="BE1B1B"/>
          <w:sz w:val="32"/>
        </w:rPr>
        <w:t>主板、创业板、科创板个股所属申万二级行业前三名</w:t>
      </w:r>
    </w:p>
    <w:p w14:paraId="04232B02" w14:textId="77777777" w:rsidR="004634C9" w:rsidRDefault="004634C9">
      <w:pPr>
        <w:rPr>
          <w:sz w:val="32"/>
        </w:rPr>
        <w:sectPr w:rsidR="004634C9">
          <w:type w:val="continuous"/>
          <w:pgSz w:w="19200" w:h="10800" w:orient="landscape"/>
          <w:pgMar w:top="1000" w:right="0" w:bottom="280" w:left="0" w:header="720" w:footer="720" w:gutter="0"/>
          <w:cols w:num="2" w:space="720" w:equalWidth="0">
            <w:col w:w="8363" w:space="1133"/>
            <w:col w:w="9704"/>
          </w:cols>
        </w:sectPr>
      </w:pPr>
    </w:p>
    <w:p w14:paraId="54359131" w14:textId="77777777" w:rsidR="004634C9" w:rsidRDefault="00000000">
      <w:pPr>
        <w:pStyle w:val="a3"/>
        <w:rPr>
          <w:b/>
          <w:i/>
          <w:sz w:val="2"/>
        </w:rPr>
      </w:pPr>
      <w:r>
        <w:pict w14:anchorId="16C27C69">
          <v:shape id="_x0000_s2233" style="position:absolute;margin-left:96.35pt;margin-top:33.9pt;width:24.1pt;height:14.4pt;z-index:251680768;mso-position-horizontal-relative:page;mso-position-vertical-relative:page" coordorigin="1927,678" coordsize="482,288" o:spt="100" adj="0,,0" path="m2112,724r-73,l2048,727r13,13l2065,750r,23l2061,784r-8,12l2047,803r-9,10l2025,827r-17,16l1987,863r-18,18l1956,897r-10,14l1939,925r-6,13l1930,952r-3,14l2120,966r,-51l2011,915r3,-5l2017,905r5,-5l2027,895r7,-7l2043,879r12,-11l2067,857r10,-10l2085,839r6,-7l2098,822r6,-9l2109,804r4,-9l2118,783r2,-12l2120,758r-2,-16l2114,727r-2,-3xm2029,678r-19,1l1993,683r-15,6l1964,698r-11,11l1944,724r-7,18l1934,763r54,6l1989,753r4,-12l2000,734r7,-7l2016,724r96,l2106,713r-10,-12l2082,691r-15,-7l2049,680r-20,-2xm2224,911r-55,l2169,966r55,l2224,911xm2409,759r-55,l2354,966r55,l2409,759xm2409,678r-45,l2358,691r-8,12l2341,714r-12,10l2317,733r-12,8l2293,746r-11,5l2282,801r20,-8l2321,783r17,-11l2354,759r55,l2409,678xe" fillcolor="#0d0d0d" stroked="f">
            <v:stroke joinstyle="round"/>
            <v:formulas/>
            <v:path arrowok="t" o:connecttype="segments"/>
            <w10:wrap anchorx="page" anchory="page"/>
          </v:shape>
        </w:pict>
      </w:r>
      <w:r>
        <w:rPr>
          <w:noProof/>
        </w:rPr>
        <w:drawing>
          <wp:anchor distT="0" distB="0" distL="0" distR="0" simplePos="0" relativeHeight="251681792" behindDoc="0" locked="0" layoutInCell="1" allowOverlap="1" wp14:anchorId="3E2B84E9" wp14:editId="2696C466">
            <wp:simplePos x="0" y="0"/>
            <wp:positionH relativeFrom="page">
              <wp:posOffset>1643252</wp:posOffset>
            </wp:positionH>
            <wp:positionV relativeFrom="page">
              <wp:posOffset>400684</wp:posOffset>
            </wp:positionV>
            <wp:extent cx="4184523" cy="249047"/>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184523" cy="249047"/>
                    </a:xfrm>
                    <a:prstGeom prst="rect">
                      <a:avLst/>
                    </a:prstGeom>
                  </pic:spPr>
                </pic:pic>
              </a:graphicData>
            </a:graphic>
          </wp:anchor>
        </w:drawing>
      </w:r>
    </w:p>
    <w:p w14:paraId="260FD7C0" w14:textId="77777777" w:rsidR="004634C9" w:rsidRDefault="00000000">
      <w:pPr>
        <w:tabs>
          <w:tab w:val="left" w:pos="9540"/>
        </w:tabs>
        <w:ind w:left="316"/>
        <w:rPr>
          <w:sz w:val="20"/>
        </w:rPr>
      </w:pPr>
      <w:r>
        <w:rPr>
          <w:noProof/>
          <w:position w:val="4"/>
          <w:sz w:val="20"/>
        </w:rPr>
        <w:drawing>
          <wp:inline distT="0" distB="0" distL="0" distR="0" wp14:anchorId="00F94A29" wp14:editId="769EB6D8">
            <wp:extent cx="5660036" cy="3401187"/>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5660036" cy="3401187"/>
                    </a:xfrm>
                    <a:prstGeom prst="rect">
                      <a:avLst/>
                    </a:prstGeom>
                  </pic:spPr>
                </pic:pic>
              </a:graphicData>
            </a:graphic>
          </wp:inline>
        </w:drawing>
      </w:r>
      <w:r>
        <w:rPr>
          <w:position w:val="4"/>
          <w:sz w:val="20"/>
        </w:rPr>
        <w:tab/>
      </w:r>
      <w:r>
        <w:rPr>
          <w:noProof/>
          <w:sz w:val="20"/>
        </w:rPr>
        <w:drawing>
          <wp:inline distT="0" distB="0" distL="0" distR="0" wp14:anchorId="41D98643" wp14:editId="51009F37">
            <wp:extent cx="5964468" cy="342509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5964468" cy="3425094"/>
                    </a:xfrm>
                    <a:prstGeom prst="rect">
                      <a:avLst/>
                    </a:prstGeom>
                  </pic:spPr>
                </pic:pic>
              </a:graphicData>
            </a:graphic>
          </wp:inline>
        </w:drawing>
      </w:r>
    </w:p>
    <w:p w14:paraId="48D49726" w14:textId="77777777" w:rsidR="004634C9" w:rsidRDefault="00000000">
      <w:pPr>
        <w:tabs>
          <w:tab w:val="left" w:pos="9685"/>
        </w:tabs>
        <w:spacing w:line="512" w:lineRule="exact"/>
        <w:ind w:left="434"/>
        <w:rPr>
          <w:sz w:val="28"/>
        </w:rPr>
      </w:pPr>
      <w:r>
        <w:rPr>
          <w:color w:val="7E7E7E"/>
          <w:sz w:val="28"/>
        </w:rPr>
        <w:t>资料来</w:t>
      </w:r>
      <w:r>
        <w:rPr>
          <w:color w:val="7E7E7E"/>
          <w:spacing w:val="-3"/>
          <w:sz w:val="28"/>
        </w:rPr>
        <w:t>源</w:t>
      </w:r>
      <w:r>
        <w:rPr>
          <w:color w:val="7E7E7E"/>
          <w:sz w:val="28"/>
        </w:rPr>
        <w:t>：同</w:t>
      </w:r>
      <w:r>
        <w:rPr>
          <w:color w:val="7E7E7E"/>
          <w:spacing w:val="-3"/>
          <w:sz w:val="28"/>
        </w:rPr>
        <w:t>花顺</w:t>
      </w:r>
      <w:r>
        <w:rPr>
          <w:color w:val="7E7E7E"/>
          <w:sz w:val="28"/>
        </w:rPr>
        <w:t>，万联</w:t>
      </w:r>
      <w:r>
        <w:rPr>
          <w:color w:val="7E7E7E"/>
          <w:spacing w:val="-3"/>
          <w:sz w:val="28"/>
        </w:rPr>
        <w:t>证</w:t>
      </w:r>
      <w:r>
        <w:rPr>
          <w:color w:val="7E7E7E"/>
          <w:sz w:val="28"/>
        </w:rPr>
        <w:t>券研</w:t>
      </w:r>
      <w:r>
        <w:rPr>
          <w:color w:val="7E7E7E"/>
          <w:spacing w:val="-3"/>
          <w:sz w:val="28"/>
        </w:rPr>
        <w:t>究所</w:t>
      </w:r>
      <w:r>
        <w:rPr>
          <w:color w:val="7E7E7E"/>
          <w:sz w:val="28"/>
        </w:rPr>
        <w:t>。数据</w:t>
      </w:r>
      <w:r>
        <w:rPr>
          <w:color w:val="7E7E7E"/>
          <w:spacing w:val="-3"/>
          <w:sz w:val="28"/>
        </w:rPr>
        <w:t>截</w:t>
      </w:r>
      <w:r>
        <w:rPr>
          <w:color w:val="7E7E7E"/>
          <w:sz w:val="28"/>
        </w:rPr>
        <w:t>至：2024/5/15</w:t>
      </w:r>
      <w:r>
        <w:rPr>
          <w:color w:val="7E7E7E"/>
          <w:sz w:val="28"/>
        </w:rPr>
        <w:tab/>
        <w:t>资料来</w:t>
      </w:r>
      <w:r>
        <w:rPr>
          <w:color w:val="7E7E7E"/>
          <w:spacing w:val="-3"/>
          <w:sz w:val="28"/>
        </w:rPr>
        <w:t>源</w:t>
      </w:r>
      <w:r>
        <w:rPr>
          <w:color w:val="7E7E7E"/>
          <w:sz w:val="28"/>
        </w:rPr>
        <w:t>：同</w:t>
      </w:r>
      <w:r>
        <w:rPr>
          <w:color w:val="7E7E7E"/>
          <w:spacing w:val="-3"/>
          <w:sz w:val="28"/>
        </w:rPr>
        <w:t>花顺</w:t>
      </w:r>
      <w:r>
        <w:rPr>
          <w:color w:val="7E7E7E"/>
          <w:sz w:val="28"/>
        </w:rPr>
        <w:t>，万联</w:t>
      </w:r>
      <w:r>
        <w:rPr>
          <w:color w:val="7E7E7E"/>
          <w:spacing w:val="-3"/>
          <w:sz w:val="28"/>
        </w:rPr>
        <w:t>证</w:t>
      </w:r>
      <w:r>
        <w:rPr>
          <w:color w:val="7E7E7E"/>
          <w:sz w:val="28"/>
        </w:rPr>
        <w:t>券研</w:t>
      </w:r>
      <w:r>
        <w:rPr>
          <w:color w:val="7E7E7E"/>
          <w:spacing w:val="-3"/>
          <w:sz w:val="28"/>
        </w:rPr>
        <w:t>究所</w:t>
      </w:r>
      <w:r>
        <w:rPr>
          <w:color w:val="7E7E7E"/>
          <w:sz w:val="28"/>
        </w:rPr>
        <w:t>。数据</w:t>
      </w:r>
      <w:r>
        <w:rPr>
          <w:color w:val="7E7E7E"/>
          <w:spacing w:val="-3"/>
          <w:sz w:val="28"/>
        </w:rPr>
        <w:t>截</w:t>
      </w:r>
      <w:r>
        <w:rPr>
          <w:color w:val="7E7E7E"/>
          <w:sz w:val="28"/>
        </w:rPr>
        <w:t>至：2024/5/15</w:t>
      </w:r>
    </w:p>
    <w:p w14:paraId="1EB761B3" w14:textId="77777777" w:rsidR="004634C9" w:rsidRDefault="004634C9">
      <w:pPr>
        <w:spacing w:line="512" w:lineRule="exact"/>
        <w:rPr>
          <w:sz w:val="28"/>
        </w:rPr>
        <w:sectPr w:rsidR="004634C9">
          <w:type w:val="continuous"/>
          <w:pgSz w:w="19200" w:h="10800" w:orient="landscape"/>
          <w:pgMar w:top="1000" w:right="0" w:bottom="280" w:left="0" w:header="720" w:footer="720" w:gutter="0"/>
          <w:cols w:space="720"/>
        </w:sectPr>
      </w:pPr>
    </w:p>
    <w:p w14:paraId="7C2BE225" w14:textId="77777777" w:rsidR="004634C9" w:rsidRDefault="00000000">
      <w:pPr>
        <w:pStyle w:val="4"/>
        <w:spacing w:line="571" w:lineRule="exact"/>
        <w:ind w:right="4982"/>
        <w:jc w:val="center"/>
      </w:pPr>
      <w:r>
        <w:rPr>
          <w:noProof/>
        </w:rPr>
        <w:lastRenderedPageBreak/>
        <w:drawing>
          <wp:anchor distT="0" distB="0" distL="0" distR="0" simplePos="0" relativeHeight="249910272" behindDoc="1" locked="0" layoutInCell="1" allowOverlap="1" wp14:anchorId="1FE8E9E2" wp14:editId="456141F7">
            <wp:simplePos x="0" y="0"/>
            <wp:positionH relativeFrom="page">
              <wp:posOffset>1272539</wp:posOffset>
            </wp:positionH>
            <wp:positionV relativeFrom="page">
              <wp:posOffset>1110996</wp:posOffset>
            </wp:positionV>
            <wp:extent cx="9983724" cy="5478780"/>
            <wp:effectExtent l="0" t="0" r="0" b="0"/>
            <wp:wrapNone/>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3" cstate="print"/>
                    <a:stretch>
                      <a:fillRect/>
                    </a:stretch>
                  </pic:blipFill>
                  <pic:spPr>
                    <a:xfrm>
                      <a:off x="0" y="0"/>
                      <a:ext cx="9983724" cy="5478780"/>
                    </a:xfrm>
                    <a:prstGeom prst="rect">
                      <a:avLst/>
                    </a:prstGeom>
                  </pic:spPr>
                </pic:pic>
              </a:graphicData>
            </a:graphic>
          </wp:anchor>
        </w:drawing>
      </w:r>
      <w:bookmarkStart w:id="10" w:name="幻灯片_11"/>
      <w:bookmarkEnd w:id="10"/>
      <w:r>
        <w:rPr>
          <w:color w:val="BE1B1B"/>
        </w:rPr>
        <w:t>北交所与科创板、创业板、主板市场上市条件对比</w:t>
      </w:r>
    </w:p>
    <w:p w14:paraId="3A8FA8A4" w14:textId="77777777" w:rsidR="004634C9" w:rsidRDefault="004634C9">
      <w:pPr>
        <w:pStyle w:val="a3"/>
        <w:rPr>
          <w:b/>
          <w:i/>
          <w:sz w:val="42"/>
        </w:rPr>
      </w:pPr>
    </w:p>
    <w:p w14:paraId="34457784" w14:textId="77777777" w:rsidR="004634C9" w:rsidRDefault="004634C9">
      <w:pPr>
        <w:pStyle w:val="a3"/>
        <w:rPr>
          <w:b/>
          <w:i/>
          <w:sz w:val="42"/>
        </w:rPr>
      </w:pPr>
    </w:p>
    <w:p w14:paraId="6806D7EB" w14:textId="77777777" w:rsidR="004634C9" w:rsidRDefault="004634C9">
      <w:pPr>
        <w:pStyle w:val="a3"/>
        <w:rPr>
          <w:b/>
          <w:i/>
          <w:sz w:val="42"/>
        </w:rPr>
      </w:pPr>
    </w:p>
    <w:p w14:paraId="699651D2" w14:textId="77777777" w:rsidR="004634C9" w:rsidRDefault="004634C9">
      <w:pPr>
        <w:pStyle w:val="a3"/>
        <w:rPr>
          <w:b/>
          <w:i/>
          <w:sz w:val="42"/>
        </w:rPr>
      </w:pPr>
    </w:p>
    <w:p w14:paraId="46CDE45E" w14:textId="77777777" w:rsidR="004634C9" w:rsidRDefault="004634C9">
      <w:pPr>
        <w:pStyle w:val="a3"/>
        <w:rPr>
          <w:b/>
          <w:i/>
          <w:sz w:val="42"/>
        </w:rPr>
      </w:pPr>
    </w:p>
    <w:p w14:paraId="63BEC662" w14:textId="77777777" w:rsidR="004634C9" w:rsidRDefault="004634C9">
      <w:pPr>
        <w:pStyle w:val="a3"/>
        <w:rPr>
          <w:b/>
          <w:i/>
          <w:sz w:val="42"/>
        </w:rPr>
      </w:pPr>
    </w:p>
    <w:p w14:paraId="28CD8E72" w14:textId="77777777" w:rsidR="004634C9" w:rsidRDefault="004634C9">
      <w:pPr>
        <w:pStyle w:val="a3"/>
        <w:rPr>
          <w:b/>
          <w:i/>
          <w:sz w:val="42"/>
        </w:rPr>
      </w:pPr>
    </w:p>
    <w:p w14:paraId="70DE7404" w14:textId="77777777" w:rsidR="004634C9" w:rsidRDefault="004634C9">
      <w:pPr>
        <w:pStyle w:val="a3"/>
        <w:rPr>
          <w:b/>
          <w:i/>
          <w:sz w:val="42"/>
        </w:rPr>
      </w:pPr>
    </w:p>
    <w:p w14:paraId="2115BE08" w14:textId="77777777" w:rsidR="004634C9" w:rsidRDefault="004634C9">
      <w:pPr>
        <w:pStyle w:val="a3"/>
        <w:rPr>
          <w:b/>
          <w:i/>
          <w:sz w:val="42"/>
        </w:rPr>
      </w:pPr>
    </w:p>
    <w:p w14:paraId="5A28070E" w14:textId="77777777" w:rsidR="004634C9" w:rsidRDefault="004634C9">
      <w:pPr>
        <w:pStyle w:val="a3"/>
        <w:rPr>
          <w:b/>
          <w:i/>
          <w:sz w:val="42"/>
        </w:rPr>
      </w:pPr>
    </w:p>
    <w:p w14:paraId="4CA38F3C" w14:textId="77777777" w:rsidR="004634C9" w:rsidRDefault="004634C9">
      <w:pPr>
        <w:pStyle w:val="a3"/>
        <w:spacing w:before="6"/>
        <w:rPr>
          <w:b/>
          <w:i/>
          <w:sz w:val="41"/>
        </w:rPr>
      </w:pPr>
    </w:p>
    <w:p w14:paraId="39BAC0E5" w14:textId="77777777" w:rsidR="004634C9" w:rsidRDefault="00000000">
      <w:pPr>
        <w:spacing w:line="511" w:lineRule="exact"/>
        <w:ind w:left="2157"/>
        <w:rPr>
          <w:sz w:val="28"/>
        </w:rPr>
      </w:pPr>
      <w:r>
        <w:rPr>
          <w:color w:val="7E7E7E"/>
          <w:sz w:val="28"/>
        </w:rPr>
        <w:t>资料来源：上交所，深交所，北交所，万联证券研究所</w:t>
      </w:r>
    </w:p>
    <w:p w14:paraId="4C86F1B3" w14:textId="77777777" w:rsidR="004634C9" w:rsidRDefault="004634C9">
      <w:pPr>
        <w:spacing w:line="511" w:lineRule="exact"/>
        <w:rPr>
          <w:sz w:val="28"/>
        </w:rPr>
        <w:sectPr w:rsidR="004634C9">
          <w:headerReference w:type="default" r:id="rId24"/>
          <w:pgSz w:w="19200" w:h="10800" w:orient="landscape"/>
          <w:pgMar w:top="1200" w:right="0" w:bottom="0" w:left="0" w:header="523" w:footer="0" w:gutter="0"/>
          <w:cols w:space="720"/>
        </w:sectPr>
      </w:pPr>
    </w:p>
    <w:p w14:paraId="6FF33811" w14:textId="77777777" w:rsidR="004634C9" w:rsidRDefault="004634C9">
      <w:pPr>
        <w:pStyle w:val="a3"/>
        <w:spacing w:before="8"/>
        <w:rPr>
          <w:sz w:val="28"/>
        </w:rPr>
      </w:pPr>
    </w:p>
    <w:p w14:paraId="60BACE6C" w14:textId="77777777" w:rsidR="004634C9" w:rsidRDefault="00000000">
      <w:pPr>
        <w:pStyle w:val="a4"/>
        <w:numPr>
          <w:ilvl w:val="1"/>
          <w:numId w:val="12"/>
        </w:numPr>
        <w:tabs>
          <w:tab w:val="left" w:pos="1219"/>
        </w:tabs>
        <w:spacing w:before="54" w:line="218" w:lineRule="auto"/>
        <w:ind w:right="892" w:hanging="272"/>
        <w:jc w:val="both"/>
        <w:rPr>
          <w:sz w:val="32"/>
        </w:rPr>
      </w:pPr>
      <w:bookmarkStart w:id="11" w:name="幻灯片_12"/>
      <w:bookmarkEnd w:id="11"/>
      <w:r>
        <w:rPr>
          <w:b/>
          <w:i/>
          <w:sz w:val="32"/>
        </w:rPr>
        <w:t>科创属性：强化规则要求，凸显科创板“硬科技”特色。</w:t>
      </w:r>
      <w:r>
        <w:rPr>
          <w:sz w:val="32"/>
        </w:rPr>
        <w:t xml:space="preserve">此次修订更加关注“科研投入、科研成果和成长性”，包括将拟申报科创板企业的研发投入金额从 </w:t>
      </w:r>
      <w:r>
        <w:rPr>
          <w:rFonts w:ascii="Arial" w:eastAsia="Arial" w:hAnsi="Arial"/>
          <w:sz w:val="32"/>
        </w:rPr>
        <w:t>6000</w:t>
      </w:r>
      <w:r>
        <w:rPr>
          <w:rFonts w:ascii="Arial" w:eastAsia="Arial" w:hAnsi="Arial"/>
          <w:spacing w:val="-3"/>
          <w:sz w:val="32"/>
        </w:rPr>
        <w:t xml:space="preserve"> </w:t>
      </w:r>
      <w:r>
        <w:rPr>
          <w:spacing w:val="-1"/>
          <w:sz w:val="32"/>
        </w:rPr>
        <w:t xml:space="preserve">万元提高至 </w:t>
      </w:r>
      <w:r>
        <w:rPr>
          <w:rFonts w:ascii="Arial" w:eastAsia="Arial" w:hAnsi="Arial"/>
          <w:sz w:val="32"/>
        </w:rPr>
        <w:t>8000</w:t>
      </w:r>
      <w:r>
        <w:rPr>
          <w:rFonts w:ascii="Arial" w:eastAsia="Arial" w:hAnsi="Arial"/>
          <w:spacing w:val="-4"/>
          <w:sz w:val="32"/>
        </w:rPr>
        <w:t xml:space="preserve"> </w:t>
      </w:r>
      <w:r>
        <w:rPr>
          <w:spacing w:val="-1"/>
          <w:sz w:val="32"/>
        </w:rPr>
        <w:t xml:space="preserve">万元，发明专利数量从 </w:t>
      </w:r>
      <w:r>
        <w:rPr>
          <w:rFonts w:ascii="Arial" w:eastAsia="Arial" w:hAnsi="Arial"/>
          <w:sz w:val="32"/>
        </w:rPr>
        <w:t>5</w:t>
      </w:r>
      <w:r>
        <w:rPr>
          <w:rFonts w:ascii="Arial" w:eastAsia="Arial" w:hAnsi="Arial"/>
          <w:spacing w:val="-2"/>
          <w:sz w:val="32"/>
        </w:rPr>
        <w:t xml:space="preserve"> </w:t>
      </w:r>
      <w:r>
        <w:rPr>
          <w:spacing w:val="-2"/>
          <w:sz w:val="32"/>
        </w:rPr>
        <w:t xml:space="preserve">项提高至 </w:t>
      </w:r>
      <w:r>
        <w:rPr>
          <w:rFonts w:ascii="Arial" w:eastAsia="Arial" w:hAnsi="Arial"/>
          <w:sz w:val="32"/>
        </w:rPr>
        <w:t>7</w:t>
      </w:r>
      <w:r>
        <w:rPr>
          <w:rFonts w:ascii="Arial" w:eastAsia="Arial" w:hAnsi="Arial"/>
          <w:spacing w:val="-2"/>
          <w:sz w:val="32"/>
        </w:rPr>
        <w:t xml:space="preserve"> </w:t>
      </w:r>
      <w:r>
        <w:rPr>
          <w:sz w:val="32"/>
        </w:rPr>
        <w:t>项，营业收入复合增长率</w:t>
      </w:r>
      <w:r>
        <w:rPr>
          <w:spacing w:val="-8"/>
          <w:sz w:val="32"/>
        </w:rPr>
        <w:t xml:space="preserve">从 </w:t>
      </w:r>
      <w:r>
        <w:rPr>
          <w:rFonts w:ascii="Arial" w:eastAsia="Arial" w:hAnsi="Arial"/>
          <w:sz w:val="32"/>
        </w:rPr>
        <w:t>20%</w:t>
      </w:r>
      <w:r>
        <w:rPr>
          <w:spacing w:val="-4"/>
          <w:sz w:val="32"/>
        </w:rPr>
        <w:t xml:space="preserve">提高至 </w:t>
      </w:r>
      <w:r>
        <w:rPr>
          <w:rFonts w:ascii="Arial" w:eastAsia="Arial" w:hAnsi="Arial"/>
          <w:sz w:val="32"/>
        </w:rPr>
        <w:t>25%</w:t>
      </w:r>
      <w:r>
        <w:rPr>
          <w:sz w:val="32"/>
        </w:rPr>
        <w:t>。科创属性从严审核，“伪科技”“亏损企业”难再实现上市，后续关于研发费用资本化、统计口径、费用归集等可能也会更加严格。</w:t>
      </w:r>
    </w:p>
    <w:p w14:paraId="798DF4F3" w14:textId="77777777" w:rsidR="004634C9" w:rsidRDefault="004634C9">
      <w:pPr>
        <w:pStyle w:val="a3"/>
        <w:spacing w:before="2"/>
        <w:rPr>
          <w:sz w:val="20"/>
        </w:rPr>
      </w:pPr>
    </w:p>
    <w:p w14:paraId="55FB07CF" w14:textId="77777777" w:rsidR="004634C9" w:rsidRDefault="00000000">
      <w:pPr>
        <w:pStyle w:val="4"/>
        <w:spacing w:before="15" w:after="3"/>
        <w:ind w:right="5177"/>
        <w:jc w:val="center"/>
      </w:pPr>
      <w:r>
        <w:rPr>
          <w:color w:val="BE1B1B"/>
        </w:rPr>
        <w:t>科创板“科创属性”评价体系主要变化</w:t>
      </w:r>
    </w:p>
    <w:tbl>
      <w:tblPr>
        <w:tblStyle w:val="TableNormal"/>
        <w:tblW w:w="0" w:type="auto"/>
        <w:tblInd w:w="122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1E0" w:firstRow="1" w:lastRow="1" w:firstColumn="1" w:lastColumn="1" w:noHBand="0" w:noVBand="0"/>
      </w:tblPr>
      <w:tblGrid>
        <w:gridCol w:w="3173"/>
        <w:gridCol w:w="7896"/>
        <w:gridCol w:w="6034"/>
      </w:tblGrid>
      <w:tr w:rsidR="004634C9" w14:paraId="5D981A52" w14:textId="77777777">
        <w:trPr>
          <w:trHeight w:val="811"/>
        </w:trPr>
        <w:tc>
          <w:tcPr>
            <w:tcW w:w="3173" w:type="dxa"/>
            <w:tcBorders>
              <w:top w:val="nil"/>
              <w:left w:val="nil"/>
              <w:right w:val="single" w:sz="8" w:space="0" w:color="FFFFFF"/>
            </w:tcBorders>
            <w:shd w:val="clear" w:color="auto" w:fill="A40020"/>
          </w:tcPr>
          <w:p w14:paraId="1A678205" w14:textId="77777777" w:rsidR="004634C9" w:rsidRPr="00252974" w:rsidRDefault="00000000">
            <w:pPr>
              <w:pStyle w:val="TableParagraph"/>
              <w:spacing w:line="409" w:lineRule="exact"/>
              <w:ind w:left="635" w:right="628"/>
              <w:jc w:val="center"/>
              <w:rPr>
                <w:rFonts w:ascii="微软雅黑" w:eastAsia="微软雅黑" w:hAnsi="微软雅黑" w:cs="微软雅黑"/>
                <w:spacing w:val="-1"/>
                <w:sz w:val="32"/>
              </w:rPr>
            </w:pPr>
            <w:r w:rsidRPr="00252974">
              <w:rPr>
                <w:rFonts w:ascii="微软雅黑" w:eastAsia="微软雅黑" w:hAnsi="微软雅黑" w:cs="微软雅黑" w:hint="eastAsia"/>
                <w:spacing w:val="-1"/>
                <w:sz w:val="32"/>
              </w:rPr>
              <w:t>四大要求</w:t>
            </w:r>
          </w:p>
          <w:p w14:paraId="0FF3A9EC" w14:textId="77777777" w:rsidR="004634C9" w:rsidRPr="00252974" w:rsidRDefault="00000000">
            <w:pPr>
              <w:pStyle w:val="TableParagraph"/>
              <w:spacing w:line="383" w:lineRule="exact"/>
              <w:ind w:left="635" w:right="628"/>
              <w:jc w:val="center"/>
              <w:rPr>
                <w:rFonts w:ascii="微软雅黑" w:eastAsia="微软雅黑" w:hAnsi="微软雅黑" w:cs="微软雅黑"/>
                <w:spacing w:val="-1"/>
                <w:sz w:val="32"/>
              </w:rPr>
            </w:pPr>
            <w:r w:rsidRPr="00252974">
              <w:rPr>
                <w:rFonts w:ascii="微软雅黑" w:eastAsia="微软雅黑" w:hAnsi="微软雅黑" w:cs="微软雅黑" w:hint="eastAsia"/>
                <w:spacing w:val="-1"/>
                <w:sz w:val="32"/>
              </w:rPr>
              <w:t>（同时具备）</w:t>
            </w:r>
          </w:p>
        </w:tc>
        <w:tc>
          <w:tcPr>
            <w:tcW w:w="7896" w:type="dxa"/>
            <w:tcBorders>
              <w:top w:val="nil"/>
              <w:left w:val="single" w:sz="8" w:space="0" w:color="FFFFFF"/>
              <w:right w:val="single" w:sz="8" w:space="0" w:color="FFFFFF"/>
            </w:tcBorders>
            <w:shd w:val="clear" w:color="auto" w:fill="A40020"/>
          </w:tcPr>
          <w:p w14:paraId="11CA8DBE" w14:textId="77777777" w:rsidR="004634C9" w:rsidRPr="00252974" w:rsidRDefault="00000000">
            <w:pPr>
              <w:pStyle w:val="TableParagraph"/>
              <w:spacing w:line="409" w:lineRule="exact"/>
              <w:ind w:left="1802" w:right="1807"/>
              <w:jc w:val="center"/>
              <w:rPr>
                <w:rFonts w:ascii="微软雅黑" w:eastAsia="微软雅黑" w:hAnsi="微软雅黑" w:cs="微软雅黑"/>
                <w:spacing w:val="-1"/>
                <w:sz w:val="32"/>
              </w:rPr>
            </w:pPr>
            <w:r w:rsidRPr="00252974">
              <w:rPr>
                <w:rFonts w:ascii="微软雅黑" w:eastAsia="微软雅黑" w:hAnsi="微软雅黑" w:cs="微软雅黑" w:hint="eastAsia"/>
                <w:spacing w:val="-1"/>
                <w:sz w:val="32"/>
              </w:rPr>
              <w:t>2024 年新规则（征求意见稿）</w:t>
            </w:r>
          </w:p>
          <w:p w14:paraId="22AC5EAF" w14:textId="77777777" w:rsidR="004634C9" w:rsidRPr="00252974" w:rsidRDefault="00000000">
            <w:pPr>
              <w:pStyle w:val="TableParagraph"/>
              <w:spacing w:line="383" w:lineRule="exact"/>
              <w:ind w:left="1802" w:right="1791"/>
              <w:jc w:val="center"/>
              <w:rPr>
                <w:rFonts w:ascii="微软雅黑" w:eastAsia="微软雅黑" w:hAnsi="微软雅黑" w:cs="微软雅黑"/>
                <w:spacing w:val="-1"/>
                <w:sz w:val="32"/>
              </w:rPr>
            </w:pPr>
            <w:r w:rsidRPr="00252974">
              <w:rPr>
                <w:rFonts w:ascii="微软雅黑" w:eastAsia="微软雅黑" w:hAnsi="微软雅黑" w:cs="微软雅黑" w:hint="eastAsia"/>
                <w:spacing w:val="-1"/>
                <w:sz w:val="32"/>
              </w:rPr>
              <w:t>与 2022 年规则对比</w:t>
            </w:r>
          </w:p>
        </w:tc>
        <w:tc>
          <w:tcPr>
            <w:tcW w:w="6034" w:type="dxa"/>
            <w:tcBorders>
              <w:top w:val="nil"/>
              <w:left w:val="single" w:sz="8" w:space="0" w:color="FFFFFF"/>
              <w:right w:val="single" w:sz="8" w:space="0" w:color="FFFFFF"/>
            </w:tcBorders>
            <w:shd w:val="clear" w:color="auto" w:fill="A40020"/>
          </w:tcPr>
          <w:p w14:paraId="49B91CF1" w14:textId="77777777" w:rsidR="004634C9" w:rsidRPr="00252974" w:rsidRDefault="00000000">
            <w:pPr>
              <w:pStyle w:val="TableParagraph"/>
              <w:spacing w:before="123"/>
              <w:ind w:left="2367" w:right="2367"/>
              <w:jc w:val="center"/>
              <w:rPr>
                <w:rFonts w:ascii="微软雅黑" w:eastAsia="微软雅黑" w:hAnsi="微软雅黑" w:cs="微软雅黑"/>
                <w:spacing w:val="-1"/>
                <w:sz w:val="32"/>
              </w:rPr>
            </w:pPr>
            <w:r w:rsidRPr="00252974">
              <w:rPr>
                <w:rFonts w:ascii="微软雅黑" w:eastAsia="微软雅黑" w:hAnsi="微软雅黑" w:cs="微软雅黑" w:hint="eastAsia"/>
                <w:spacing w:val="-1"/>
                <w:sz w:val="32"/>
              </w:rPr>
              <w:t>变化趋势</w:t>
            </w:r>
          </w:p>
        </w:tc>
      </w:tr>
      <w:tr w:rsidR="004634C9" w14:paraId="60BD1D9E" w14:textId="77777777">
        <w:trPr>
          <w:trHeight w:val="395"/>
        </w:trPr>
        <w:tc>
          <w:tcPr>
            <w:tcW w:w="17103" w:type="dxa"/>
            <w:gridSpan w:val="3"/>
          </w:tcPr>
          <w:p w14:paraId="2F36B4A6" w14:textId="77777777" w:rsidR="004634C9" w:rsidRDefault="00000000">
            <w:pPr>
              <w:pStyle w:val="TableParagraph"/>
              <w:spacing w:before="17" w:line="358" w:lineRule="exact"/>
              <w:ind w:left="3868" w:right="3875"/>
              <w:jc w:val="center"/>
              <w:rPr>
                <w:sz w:val="31"/>
              </w:rPr>
            </w:pPr>
            <w:r>
              <w:rPr>
                <w:sz w:val="31"/>
              </w:rPr>
              <w:t>从严审核基调，从科研投入、科研成果和成长性三个维度提高标准。</w:t>
            </w:r>
          </w:p>
        </w:tc>
      </w:tr>
      <w:tr w:rsidR="004634C9" w14:paraId="0E70C8C8" w14:textId="77777777">
        <w:trPr>
          <w:trHeight w:val="1224"/>
        </w:trPr>
        <w:tc>
          <w:tcPr>
            <w:tcW w:w="3173" w:type="dxa"/>
          </w:tcPr>
          <w:p w14:paraId="52262405" w14:textId="77777777" w:rsidR="004634C9" w:rsidRDefault="004634C9">
            <w:pPr>
              <w:pStyle w:val="TableParagraph"/>
              <w:spacing w:before="8"/>
              <w:rPr>
                <w:rFonts w:ascii="微软雅黑"/>
                <w:b/>
                <w:i/>
                <w:sz w:val="23"/>
              </w:rPr>
            </w:pPr>
          </w:p>
          <w:p w14:paraId="1C40A3B1" w14:textId="77777777" w:rsidR="004634C9" w:rsidRDefault="00000000">
            <w:pPr>
              <w:pStyle w:val="TableParagraph"/>
              <w:ind w:left="1176" w:right="1161"/>
              <w:jc w:val="center"/>
              <w:rPr>
                <w:sz w:val="31"/>
              </w:rPr>
            </w:pPr>
            <w:r>
              <w:rPr>
                <w:sz w:val="31"/>
              </w:rPr>
              <w:t>要求1</w:t>
            </w:r>
          </w:p>
        </w:tc>
        <w:tc>
          <w:tcPr>
            <w:tcW w:w="7896" w:type="dxa"/>
          </w:tcPr>
          <w:p w14:paraId="76D488E7" w14:textId="77777777" w:rsidR="004634C9" w:rsidRDefault="00000000">
            <w:pPr>
              <w:pStyle w:val="TableParagraph"/>
              <w:spacing w:before="70" w:line="199" w:lineRule="auto"/>
              <w:ind w:left="58" w:right="127"/>
              <w:rPr>
                <w:rFonts w:ascii="Microsoft JhengHei" w:eastAsia="Microsoft JhengHei"/>
                <w:b/>
                <w:sz w:val="31"/>
              </w:rPr>
            </w:pPr>
            <w:r>
              <w:rPr>
                <w:sz w:val="31"/>
              </w:rPr>
              <w:t>1、最近三年研发投入占营业收入比例 5％以上（无变</w:t>
            </w:r>
            <w:r>
              <w:rPr>
                <w:w w:val="95"/>
                <w:sz w:val="31"/>
              </w:rPr>
              <w:t>化）；2、或者：最近三年研发投入金额累计在</w:t>
            </w:r>
            <w:r>
              <w:rPr>
                <w:rFonts w:ascii="Microsoft JhengHei" w:eastAsia="Microsoft JhengHei" w:hint="eastAsia"/>
                <w:b/>
                <w:w w:val="95"/>
                <w:sz w:val="31"/>
              </w:rPr>
              <w:t>6000万元</w:t>
            </w:r>
          </w:p>
          <w:p w14:paraId="5294EA52" w14:textId="77777777" w:rsidR="004634C9" w:rsidRDefault="00000000">
            <w:pPr>
              <w:pStyle w:val="TableParagraph"/>
              <w:spacing w:line="332" w:lineRule="exact"/>
              <w:ind w:left="58"/>
              <w:rPr>
                <w:rFonts w:ascii="Microsoft JhengHei" w:eastAsia="Microsoft JhengHei" w:hAnsi="Microsoft JhengHei"/>
                <w:b/>
                <w:sz w:val="31"/>
              </w:rPr>
            </w:pPr>
            <w:r>
              <w:rPr>
                <w:rFonts w:ascii="Microsoft JhengHei" w:eastAsia="Microsoft JhengHei" w:hAnsi="Microsoft JhengHei" w:hint="eastAsia"/>
                <w:b/>
                <w:sz w:val="31"/>
              </w:rPr>
              <w:t>以上→8000万元以上。</w:t>
            </w:r>
          </w:p>
        </w:tc>
        <w:tc>
          <w:tcPr>
            <w:tcW w:w="6034" w:type="dxa"/>
          </w:tcPr>
          <w:p w14:paraId="35EE34EA" w14:textId="77777777" w:rsidR="004634C9" w:rsidRDefault="00000000">
            <w:pPr>
              <w:pStyle w:val="TableParagraph"/>
              <w:spacing w:before="167" w:line="213" w:lineRule="auto"/>
              <w:ind w:left="58" w:right="233"/>
              <w:rPr>
                <w:sz w:val="31"/>
              </w:rPr>
            </w:pPr>
            <w:r>
              <w:rPr>
                <w:rFonts w:ascii="Microsoft JhengHei" w:eastAsia="Microsoft JhengHei" w:hint="eastAsia"/>
                <w:b/>
                <w:sz w:val="31"/>
              </w:rPr>
              <w:t>科研投入下限提高</w:t>
            </w:r>
            <w:r>
              <w:rPr>
                <w:sz w:val="31"/>
              </w:rPr>
              <w:t>，后续研发费用的资本化、统计口径、费用归集会更加严格。</w:t>
            </w:r>
          </w:p>
        </w:tc>
      </w:tr>
      <w:tr w:rsidR="004634C9" w14:paraId="546257F8" w14:textId="77777777">
        <w:trPr>
          <w:trHeight w:val="395"/>
        </w:trPr>
        <w:tc>
          <w:tcPr>
            <w:tcW w:w="3173" w:type="dxa"/>
          </w:tcPr>
          <w:p w14:paraId="17D356FB" w14:textId="77777777" w:rsidR="004634C9" w:rsidRDefault="00000000">
            <w:pPr>
              <w:pStyle w:val="TableParagraph"/>
              <w:spacing w:before="17" w:line="358" w:lineRule="exact"/>
              <w:ind w:left="1176" w:right="1161"/>
              <w:jc w:val="center"/>
              <w:rPr>
                <w:sz w:val="31"/>
              </w:rPr>
            </w:pPr>
            <w:r>
              <w:rPr>
                <w:sz w:val="31"/>
              </w:rPr>
              <w:t>要求2</w:t>
            </w:r>
          </w:p>
        </w:tc>
        <w:tc>
          <w:tcPr>
            <w:tcW w:w="7896" w:type="dxa"/>
          </w:tcPr>
          <w:p w14:paraId="21BCA91C" w14:textId="77777777" w:rsidR="004634C9" w:rsidRDefault="00000000">
            <w:pPr>
              <w:pStyle w:val="TableParagraph"/>
              <w:spacing w:before="17" w:line="358" w:lineRule="exact"/>
              <w:ind w:left="58"/>
              <w:rPr>
                <w:sz w:val="31"/>
              </w:rPr>
            </w:pPr>
            <w:r>
              <w:rPr>
                <w:sz w:val="31"/>
              </w:rPr>
              <w:t>研发人员占当年员工总数的比例不低于 10％（无变化）</w:t>
            </w:r>
          </w:p>
        </w:tc>
        <w:tc>
          <w:tcPr>
            <w:tcW w:w="6034" w:type="dxa"/>
          </w:tcPr>
          <w:p w14:paraId="5DB06D6A" w14:textId="77777777" w:rsidR="004634C9" w:rsidRDefault="00000000">
            <w:pPr>
              <w:pStyle w:val="TableParagraph"/>
              <w:spacing w:before="17" w:line="358" w:lineRule="exact"/>
              <w:ind w:left="16"/>
              <w:jc w:val="center"/>
              <w:rPr>
                <w:sz w:val="31"/>
              </w:rPr>
            </w:pPr>
            <w:r>
              <w:rPr>
                <w:sz w:val="31"/>
              </w:rPr>
              <w:t>/</w:t>
            </w:r>
          </w:p>
        </w:tc>
      </w:tr>
      <w:tr w:rsidR="004634C9" w14:paraId="348B7A20" w14:textId="77777777">
        <w:trPr>
          <w:trHeight w:val="809"/>
        </w:trPr>
        <w:tc>
          <w:tcPr>
            <w:tcW w:w="3173" w:type="dxa"/>
          </w:tcPr>
          <w:p w14:paraId="5BD5A47A" w14:textId="77777777" w:rsidR="004634C9" w:rsidRDefault="00000000">
            <w:pPr>
              <w:pStyle w:val="TableParagraph"/>
              <w:spacing w:before="224"/>
              <w:ind w:left="1176" w:right="1161"/>
              <w:jc w:val="center"/>
              <w:rPr>
                <w:sz w:val="31"/>
              </w:rPr>
            </w:pPr>
            <w:r>
              <w:rPr>
                <w:sz w:val="31"/>
              </w:rPr>
              <w:t>要求3</w:t>
            </w:r>
          </w:p>
        </w:tc>
        <w:tc>
          <w:tcPr>
            <w:tcW w:w="7896" w:type="dxa"/>
          </w:tcPr>
          <w:p w14:paraId="2E13BEED" w14:textId="77777777" w:rsidR="004634C9" w:rsidRDefault="00000000">
            <w:pPr>
              <w:pStyle w:val="TableParagraph"/>
              <w:spacing w:before="122"/>
              <w:ind w:left="58"/>
              <w:rPr>
                <w:sz w:val="31"/>
              </w:rPr>
            </w:pPr>
            <w:r>
              <w:rPr>
                <w:sz w:val="31"/>
              </w:rPr>
              <w:t>应用于公司主营业务的发明专利</w:t>
            </w:r>
            <w:r>
              <w:rPr>
                <w:rFonts w:ascii="Microsoft JhengHei" w:eastAsia="Microsoft JhengHei" w:hAnsi="Microsoft JhengHei" w:hint="eastAsia"/>
                <w:b/>
                <w:sz w:val="31"/>
              </w:rPr>
              <w:t>5项以上→7项以上</w:t>
            </w:r>
            <w:r>
              <w:rPr>
                <w:sz w:val="31"/>
              </w:rPr>
              <w:t>。</w:t>
            </w:r>
          </w:p>
        </w:tc>
        <w:tc>
          <w:tcPr>
            <w:tcW w:w="6034" w:type="dxa"/>
          </w:tcPr>
          <w:p w14:paraId="4690656F" w14:textId="77777777" w:rsidR="004634C9" w:rsidRDefault="00000000">
            <w:pPr>
              <w:pStyle w:val="TableParagraph"/>
              <w:spacing w:line="458" w:lineRule="exact"/>
              <w:ind w:left="58"/>
              <w:rPr>
                <w:sz w:val="31"/>
              </w:rPr>
            </w:pPr>
            <w:r>
              <w:rPr>
                <w:rFonts w:ascii="Microsoft JhengHei" w:eastAsia="Microsoft JhengHei" w:hint="eastAsia"/>
                <w:b/>
                <w:sz w:val="31"/>
              </w:rPr>
              <w:t>科研成果：</w:t>
            </w:r>
            <w:r>
              <w:rPr>
                <w:sz w:val="31"/>
              </w:rPr>
              <w:t>发明专利数量增加，后续关注</w:t>
            </w:r>
          </w:p>
          <w:p w14:paraId="2C903D46" w14:textId="77777777" w:rsidR="004634C9" w:rsidRDefault="00000000">
            <w:pPr>
              <w:pStyle w:val="TableParagraph"/>
              <w:spacing w:line="331" w:lineRule="exact"/>
              <w:ind w:left="58"/>
              <w:rPr>
                <w:sz w:val="31"/>
              </w:rPr>
            </w:pPr>
            <w:r>
              <w:rPr>
                <w:sz w:val="31"/>
              </w:rPr>
              <w:t>“购买专利、联合开发专利”等审核情况。</w:t>
            </w:r>
          </w:p>
        </w:tc>
      </w:tr>
      <w:tr w:rsidR="004634C9" w14:paraId="58DE1251" w14:textId="77777777">
        <w:trPr>
          <w:trHeight w:val="810"/>
        </w:trPr>
        <w:tc>
          <w:tcPr>
            <w:tcW w:w="3173" w:type="dxa"/>
          </w:tcPr>
          <w:p w14:paraId="65D8F357" w14:textId="77777777" w:rsidR="004634C9" w:rsidRDefault="00000000">
            <w:pPr>
              <w:pStyle w:val="TableParagraph"/>
              <w:spacing w:before="224"/>
              <w:ind w:left="1176" w:right="1161"/>
              <w:jc w:val="center"/>
              <w:rPr>
                <w:sz w:val="31"/>
              </w:rPr>
            </w:pPr>
            <w:r>
              <w:rPr>
                <w:sz w:val="31"/>
              </w:rPr>
              <w:t>要求4</w:t>
            </w:r>
          </w:p>
        </w:tc>
        <w:tc>
          <w:tcPr>
            <w:tcW w:w="7896" w:type="dxa"/>
          </w:tcPr>
          <w:p w14:paraId="4EFC4904" w14:textId="77777777" w:rsidR="004634C9" w:rsidRDefault="00000000">
            <w:pPr>
              <w:pStyle w:val="TableParagraph"/>
              <w:spacing w:line="459" w:lineRule="exact"/>
              <w:ind w:left="58"/>
              <w:rPr>
                <w:sz w:val="31"/>
              </w:rPr>
            </w:pPr>
            <w:r>
              <w:rPr>
                <w:sz w:val="31"/>
              </w:rPr>
              <w:t>1、最近三年营业收入复合增长率达到</w:t>
            </w:r>
            <w:r>
              <w:rPr>
                <w:rFonts w:ascii="Microsoft JhengHei" w:eastAsia="Microsoft JhengHei" w:hAnsi="Microsoft JhengHei" w:hint="eastAsia"/>
                <w:b/>
                <w:sz w:val="31"/>
              </w:rPr>
              <w:t>20％→25%</w:t>
            </w:r>
            <w:r>
              <w:rPr>
                <w:sz w:val="31"/>
              </w:rPr>
              <w:t>；</w:t>
            </w:r>
          </w:p>
          <w:p w14:paraId="3F89F452" w14:textId="77777777" w:rsidR="004634C9" w:rsidRDefault="00000000">
            <w:pPr>
              <w:pStyle w:val="TableParagraph"/>
              <w:spacing w:line="331" w:lineRule="exact"/>
              <w:ind w:left="58"/>
              <w:rPr>
                <w:sz w:val="31"/>
              </w:rPr>
            </w:pPr>
            <w:r>
              <w:rPr>
                <w:sz w:val="31"/>
              </w:rPr>
              <w:t>2、或者：最近一年营业收入金额达到3亿元（无变化）。</w:t>
            </w:r>
          </w:p>
        </w:tc>
        <w:tc>
          <w:tcPr>
            <w:tcW w:w="6034" w:type="dxa"/>
          </w:tcPr>
          <w:p w14:paraId="2A6ECDC6" w14:textId="77777777" w:rsidR="004634C9" w:rsidRDefault="00000000">
            <w:pPr>
              <w:pStyle w:val="TableParagraph"/>
              <w:spacing w:line="459" w:lineRule="exact"/>
              <w:ind w:left="58"/>
              <w:rPr>
                <w:sz w:val="31"/>
              </w:rPr>
            </w:pPr>
            <w:r>
              <w:rPr>
                <w:rFonts w:ascii="Microsoft JhengHei" w:eastAsia="Microsoft JhengHei" w:hAnsi="Microsoft JhengHei" w:hint="eastAsia"/>
                <w:b/>
                <w:sz w:val="31"/>
              </w:rPr>
              <w:t>关注成长性：</w:t>
            </w:r>
            <w:r>
              <w:rPr>
                <w:sz w:val="31"/>
              </w:rPr>
              <w:t>营业收入复合增长率从20%→</w:t>
            </w:r>
          </w:p>
          <w:p w14:paraId="77D8F28D" w14:textId="77777777" w:rsidR="004634C9" w:rsidRDefault="00000000">
            <w:pPr>
              <w:pStyle w:val="TableParagraph"/>
              <w:spacing w:line="331" w:lineRule="exact"/>
              <w:ind w:left="58"/>
              <w:rPr>
                <w:sz w:val="31"/>
              </w:rPr>
            </w:pPr>
            <w:r>
              <w:rPr>
                <w:sz w:val="31"/>
              </w:rPr>
              <w:t>25%</w:t>
            </w:r>
          </w:p>
        </w:tc>
      </w:tr>
    </w:tbl>
    <w:p w14:paraId="5A719A72" w14:textId="77777777" w:rsidR="004634C9" w:rsidRDefault="00000000">
      <w:pPr>
        <w:spacing w:before="52"/>
        <w:ind w:left="1353"/>
        <w:rPr>
          <w:sz w:val="28"/>
        </w:rPr>
      </w:pPr>
      <w:r>
        <w:rPr>
          <w:color w:val="7E7E7E"/>
          <w:sz w:val="28"/>
        </w:rPr>
        <w:t>资料来源：证监会，万联证券研究所</w:t>
      </w:r>
    </w:p>
    <w:p w14:paraId="533EEC44" w14:textId="77777777" w:rsidR="004634C9" w:rsidRDefault="004634C9">
      <w:pPr>
        <w:rPr>
          <w:sz w:val="28"/>
        </w:rPr>
        <w:sectPr w:rsidR="004634C9">
          <w:pgSz w:w="19200" w:h="10800" w:orient="landscape"/>
          <w:pgMar w:top="1200" w:right="0" w:bottom="280" w:left="0" w:header="523" w:footer="0" w:gutter="0"/>
          <w:cols w:space="720"/>
        </w:sectPr>
      </w:pPr>
    </w:p>
    <w:p w14:paraId="2FFAD947" w14:textId="77777777" w:rsidR="004634C9" w:rsidRDefault="004634C9">
      <w:pPr>
        <w:pStyle w:val="a3"/>
        <w:spacing w:before="5"/>
        <w:rPr>
          <w:sz w:val="9"/>
        </w:rPr>
      </w:pPr>
    </w:p>
    <w:p w14:paraId="456E33D6" w14:textId="77777777" w:rsidR="004634C9" w:rsidRDefault="00000000">
      <w:pPr>
        <w:pStyle w:val="2"/>
        <w:spacing w:before="6"/>
        <w:ind w:left="5436"/>
      </w:pPr>
      <w:bookmarkStart w:id="12" w:name="幻灯片_13"/>
      <w:bookmarkEnd w:id="12"/>
      <w:r>
        <w:rPr>
          <w:color w:val="0D0D0D"/>
        </w:rPr>
        <w:t>北交所上市：强调板块“定位”，强化主体责任</w:t>
      </w:r>
    </w:p>
    <w:p w14:paraId="2FC777AD" w14:textId="77777777" w:rsidR="004634C9" w:rsidRDefault="00000000">
      <w:pPr>
        <w:pStyle w:val="a4"/>
        <w:numPr>
          <w:ilvl w:val="0"/>
          <w:numId w:val="10"/>
        </w:numPr>
        <w:tabs>
          <w:tab w:val="left" w:pos="1164"/>
        </w:tabs>
        <w:spacing w:before="70" w:line="218" w:lineRule="auto"/>
        <w:ind w:right="1082" w:hanging="272"/>
        <w:rPr>
          <w:sz w:val="32"/>
        </w:rPr>
      </w:pPr>
      <w:r>
        <w:rPr>
          <w:spacing w:val="-1"/>
          <w:w w:val="95"/>
          <w:sz w:val="32"/>
        </w:rPr>
        <w:t>新“国九条”涉及北交所仅提到：坚持主板、科创板、创业板和</w:t>
      </w:r>
      <w:r>
        <w:rPr>
          <w:b/>
          <w:i/>
          <w:color w:val="FF0000"/>
          <w:w w:val="95"/>
          <w:sz w:val="32"/>
        </w:rPr>
        <w:t>北交所错位发展</w:t>
      </w:r>
      <w:r>
        <w:rPr>
          <w:w w:val="95"/>
          <w:sz w:val="32"/>
        </w:rPr>
        <w:t xml:space="preserve">。在北交所《上市审核规则》修订的征求      </w:t>
      </w:r>
      <w:r>
        <w:rPr>
          <w:sz w:val="32"/>
        </w:rPr>
        <w:t>意见稿中明确提及了以下几点变化：</w:t>
      </w:r>
    </w:p>
    <w:p w14:paraId="12470702" w14:textId="77777777" w:rsidR="004634C9" w:rsidRDefault="00000000">
      <w:pPr>
        <w:pStyle w:val="4"/>
        <w:spacing w:before="99" w:line="565" w:lineRule="exact"/>
        <w:ind w:left="1046"/>
      </w:pPr>
      <w:r>
        <w:rPr>
          <w:rFonts w:ascii="Arial" w:eastAsia="Arial" w:hAnsi="Arial"/>
          <w:i w:val="0"/>
        </w:rPr>
        <w:t>1</w:t>
      </w:r>
      <w:r>
        <w:t>、突出强调了北交所申报需要“符合定位”</w:t>
      </w:r>
    </w:p>
    <w:p w14:paraId="49E4A56D" w14:textId="77777777" w:rsidR="004634C9" w:rsidRDefault="00000000">
      <w:pPr>
        <w:pStyle w:val="a4"/>
        <w:numPr>
          <w:ilvl w:val="1"/>
          <w:numId w:val="10"/>
        </w:numPr>
        <w:tabs>
          <w:tab w:val="left" w:pos="1497"/>
          <w:tab w:val="left" w:pos="1499"/>
        </w:tabs>
        <w:spacing w:line="469" w:lineRule="exact"/>
        <w:ind w:hanging="453"/>
        <w:rPr>
          <w:sz w:val="28"/>
        </w:rPr>
      </w:pPr>
      <w:r>
        <w:rPr>
          <w:rFonts w:ascii="Arial" w:eastAsia="Arial" w:hAnsi="Arial"/>
          <w:sz w:val="28"/>
        </w:rPr>
        <w:t>1</w:t>
      </w:r>
      <w:r>
        <w:rPr>
          <w:sz w:val="28"/>
        </w:rPr>
        <w:t>）</w:t>
      </w:r>
      <w:r>
        <w:rPr>
          <w:spacing w:val="-3"/>
          <w:sz w:val="28"/>
        </w:rPr>
        <w:t>第三条，新增“发行人申请公开发行股票并上市，应当符合北交所定位”</w:t>
      </w:r>
    </w:p>
    <w:p w14:paraId="63AB2E4C" w14:textId="77777777" w:rsidR="004634C9" w:rsidRDefault="00000000">
      <w:pPr>
        <w:pStyle w:val="a4"/>
        <w:numPr>
          <w:ilvl w:val="1"/>
          <w:numId w:val="10"/>
        </w:numPr>
        <w:tabs>
          <w:tab w:val="left" w:pos="1497"/>
          <w:tab w:val="left" w:pos="1499"/>
        </w:tabs>
        <w:spacing w:before="10" w:line="218" w:lineRule="auto"/>
        <w:ind w:right="1019"/>
        <w:rPr>
          <w:sz w:val="28"/>
        </w:rPr>
      </w:pPr>
      <w:r>
        <w:rPr>
          <w:rFonts w:ascii="Arial" w:eastAsia="Arial" w:hAnsi="Arial"/>
          <w:sz w:val="28"/>
        </w:rPr>
        <w:t>2</w:t>
      </w:r>
      <w:r>
        <w:rPr>
          <w:sz w:val="28"/>
        </w:rPr>
        <w:t>）</w:t>
      </w:r>
      <w:r>
        <w:rPr>
          <w:spacing w:val="-3"/>
          <w:sz w:val="28"/>
        </w:rPr>
        <w:t>第二十三条，新增“保荐机构应当对发行人是否符合北交所定位、发行条件、上市条件和信息披露要求作出专业判断，审慎作出推荐决定”</w:t>
      </w:r>
    </w:p>
    <w:p w14:paraId="391C026F" w14:textId="77777777" w:rsidR="004634C9" w:rsidRDefault="00000000">
      <w:pPr>
        <w:pStyle w:val="a4"/>
        <w:numPr>
          <w:ilvl w:val="1"/>
          <w:numId w:val="10"/>
        </w:numPr>
        <w:tabs>
          <w:tab w:val="left" w:pos="1497"/>
          <w:tab w:val="left" w:pos="1499"/>
        </w:tabs>
        <w:spacing w:line="484" w:lineRule="exact"/>
        <w:ind w:hanging="453"/>
        <w:rPr>
          <w:rFonts w:ascii="Arial" w:eastAsia="Arial" w:hAnsi="Arial"/>
          <w:sz w:val="28"/>
        </w:rPr>
      </w:pPr>
      <w:r>
        <w:rPr>
          <w:rFonts w:ascii="Arial" w:eastAsia="Arial" w:hAnsi="Arial"/>
          <w:sz w:val="28"/>
        </w:rPr>
        <w:t>3</w:t>
      </w:r>
      <w:r>
        <w:rPr>
          <w:sz w:val="28"/>
        </w:rPr>
        <w:t>）</w:t>
      </w:r>
      <w:r>
        <w:rPr>
          <w:spacing w:val="-3"/>
          <w:sz w:val="28"/>
        </w:rPr>
        <w:t>第五十五条，新增终止审核情形“本所审核认为发行人不符合北交所定位，</w:t>
      </w:r>
      <w:r>
        <w:rPr>
          <w:rFonts w:ascii="Arial" w:eastAsia="Arial" w:hAnsi="Arial"/>
          <w:sz w:val="28"/>
        </w:rPr>
        <w:t>……”</w:t>
      </w:r>
    </w:p>
    <w:p w14:paraId="02963A97" w14:textId="77777777" w:rsidR="004634C9" w:rsidRDefault="004634C9">
      <w:pPr>
        <w:pStyle w:val="a3"/>
        <w:spacing w:before="9"/>
        <w:rPr>
          <w:rFonts w:ascii="Arial"/>
          <w:sz w:val="36"/>
        </w:rPr>
      </w:pPr>
    </w:p>
    <w:p w14:paraId="5852534C" w14:textId="77777777" w:rsidR="004634C9" w:rsidRDefault="00000000">
      <w:pPr>
        <w:pStyle w:val="4"/>
        <w:spacing w:line="565" w:lineRule="exact"/>
        <w:ind w:left="1046"/>
      </w:pPr>
      <w:r>
        <w:rPr>
          <w:rFonts w:ascii="Arial" w:eastAsia="Arial"/>
          <w:i w:val="0"/>
        </w:rPr>
        <w:t>2</w:t>
      </w:r>
      <w:r>
        <w:t>、全面强化了主体责任，严监管思想贯穿全文</w:t>
      </w:r>
    </w:p>
    <w:p w14:paraId="69527D66" w14:textId="77777777" w:rsidR="004634C9" w:rsidRDefault="00000000">
      <w:pPr>
        <w:pStyle w:val="a4"/>
        <w:numPr>
          <w:ilvl w:val="1"/>
          <w:numId w:val="10"/>
        </w:numPr>
        <w:tabs>
          <w:tab w:val="left" w:pos="1499"/>
        </w:tabs>
        <w:spacing w:before="8" w:line="218" w:lineRule="auto"/>
        <w:ind w:right="1018"/>
        <w:jc w:val="both"/>
        <w:rPr>
          <w:sz w:val="28"/>
        </w:rPr>
      </w:pPr>
      <w:r>
        <w:rPr>
          <w:rFonts w:ascii="Arial" w:eastAsia="Arial" w:hAnsi="Arial"/>
          <w:b/>
          <w:sz w:val="28"/>
        </w:rPr>
        <w:t>1</w:t>
      </w:r>
      <w:r>
        <w:rPr>
          <w:b/>
          <w:i/>
          <w:sz w:val="28"/>
        </w:rPr>
        <w:t>）</w:t>
      </w:r>
      <w:r>
        <w:rPr>
          <w:b/>
          <w:i/>
          <w:spacing w:val="-3"/>
          <w:sz w:val="28"/>
        </w:rPr>
        <w:t>多处新增“现场核验”和“现场督导”的监管方式。</w:t>
      </w:r>
      <w:r>
        <w:rPr>
          <w:spacing w:val="-3"/>
          <w:sz w:val="28"/>
        </w:rPr>
        <w:t>第二十条，新增交易所“现场督导”的方式；第二十八条，新增“通过现场核验等方式“进行必要的补充调查和核查；</w:t>
      </w:r>
    </w:p>
    <w:p w14:paraId="1CA1AD64" w14:textId="77777777" w:rsidR="004634C9" w:rsidRDefault="00000000">
      <w:pPr>
        <w:pStyle w:val="a4"/>
        <w:numPr>
          <w:ilvl w:val="1"/>
          <w:numId w:val="10"/>
        </w:numPr>
        <w:tabs>
          <w:tab w:val="left" w:pos="1499"/>
        </w:tabs>
        <w:spacing w:before="2" w:line="218" w:lineRule="auto"/>
        <w:ind w:right="1015"/>
        <w:jc w:val="both"/>
        <w:rPr>
          <w:sz w:val="28"/>
        </w:rPr>
      </w:pPr>
      <w:r>
        <w:pict w14:anchorId="3F2C89C8">
          <v:line id="_x0000_s2232" style="position:absolute;left:0;text-align:left;z-index:-253405184;mso-position-horizontal-relative:page" from="321pt,18.45pt" to="391pt,18.45pt" strokeweight=".84pt">
            <w10:wrap anchorx="page"/>
          </v:line>
        </w:pict>
      </w:r>
      <w:r>
        <w:pict w14:anchorId="2AAE8A76">
          <v:line id="_x0000_s2231" style="position:absolute;left:0;text-align:left;z-index:-253404160;mso-position-horizontal-relative:page" from="559pt,18.45pt" to="601pt,18.45pt" strokeweight=".84pt">
            <w10:wrap anchorx="page"/>
          </v:line>
        </w:pict>
      </w:r>
      <w:r>
        <w:pict w14:anchorId="05028B51">
          <v:line id="_x0000_s2230" style="position:absolute;left:0;text-align:left;z-index:-253403136;mso-position-horizontal-relative:page" from="811pt,18.45pt" to="909pt,18.45pt" strokeweight=".84pt">
            <w10:wrap anchorx="page"/>
          </v:line>
        </w:pict>
      </w:r>
      <w:r>
        <w:rPr>
          <w:rFonts w:ascii="Arial" w:eastAsia="Arial" w:hAnsi="Arial"/>
          <w:b/>
          <w:sz w:val="28"/>
        </w:rPr>
        <w:t>2</w:t>
      </w:r>
      <w:r>
        <w:rPr>
          <w:b/>
          <w:i/>
          <w:sz w:val="28"/>
        </w:rPr>
        <w:t>）各方归位尽责：</w:t>
      </w:r>
      <w:r>
        <w:rPr>
          <w:spacing w:val="-3"/>
          <w:sz w:val="28"/>
        </w:rPr>
        <w:t>如第二十三条补齐了保荐人代表的职责；第二十一条强调了发行人须“充分配合”；第三十条强化了行业咨询委员会的作用；第十九条，新增</w:t>
      </w:r>
      <w:r>
        <w:rPr>
          <w:spacing w:val="-22"/>
          <w:sz w:val="28"/>
          <w:u w:val="single"/>
        </w:rPr>
        <w:t xml:space="preserve"> 北交所</w:t>
      </w:r>
      <w:r>
        <w:rPr>
          <w:spacing w:val="-3"/>
          <w:sz w:val="28"/>
        </w:rPr>
        <w:t>发现“重大敏感事项、重大无先例情况、重大舆情、重大违法线索”须及时向证监会请示报告的情形；</w:t>
      </w:r>
    </w:p>
    <w:p w14:paraId="0185880F" w14:textId="77777777" w:rsidR="004634C9" w:rsidRDefault="00000000">
      <w:pPr>
        <w:pStyle w:val="a4"/>
        <w:numPr>
          <w:ilvl w:val="1"/>
          <w:numId w:val="10"/>
        </w:numPr>
        <w:tabs>
          <w:tab w:val="left" w:pos="1499"/>
        </w:tabs>
        <w:spacing w:before="2" w:line="218" w:lineRule="auto"/>
        <w:ind w:right="955"/>
        <w:jc w:val="both"/>
        <w:rPr>
          <w:sz w:val="28"/>
        </w:rPr>
      </w:pPr>
      <w:r>
        <w:rPr>
          <w:rFonts w:ascii="Arial" w:eastAsia="Arial" w:hAnsi="Arial"/>
          <w:b/>
          <w:sz w:val="28"/>
        </w:rPr>
        <w:t>3</w:t>
      </w:r>
      <w:r>
        <w:rPr>
          <w:b/>
          <w:i/>
          <w:sz w:val="28"/>
        </w:rPr>
        <w:t>）</w:t>
      </w:r>
      <w:r>
        <w:rPr>
          <w:b/>
          <w:i/>
          <w:spacing w:val="-2"/>
          <w:sz w:val="28"/>
        </w:rPr>
        <w:t>提升处罚底线，提高处罚标准。</w:t>
      </w:r>
      <w:r>
        <w:rPr>
          <w:spacing w:val="-1"/>
          <w:sz w:val="28"/>
        </w:rPr>
        <w:t>如“连续两次不受理，</w:t>
      </w:r>
      <w:r>
        <w:rPr>
          <w:rFonts w:ascii="Arial" w:eastAsia="Arial" w:hAnsi="Arial"/>
          <w:spacing w:val="-3"/>
          <w:sz w:val="28"/>
        </w:rPr>
        <w:t>6</w:t>
      </w:r>
      <w:r>
        <w:rPr>
          <w:spacing w:val="-2"/>
          <w:sz w:val="28"/>
        </w:rPr>
        <w:t>个月</w:t>
      </w:r>
      <w:r>
        <w:rPr>
          <w:sz w:val="28"/>
        </w:rPr>
        <w:t>（原</w:t>
      </w:r>
      <w:r>
        <w:rPr>
          <w:rFonts w:ascii="Arial" w:eastAsia="Arial" w:hAnsi="Arial"/>
          <w:spacing w:val="-3"/>
          <w:sz w:val="28"/>
        </w:rPr>
        <w:t>3</w:t>
      </w:r>
      <w:r>
        <w:rPr>
          <w:spacing w:val="-2"/>
          <w:sz w:val="28"/>
        </w:rPr>
        <w:t>个月</w:t>
      </w:r>
      <w:r>
        <w:rPr>
          <w:sz w:val="28"/>
        </w:rPr>
        <w:t>）</w:t>
      </w:r>
      <w:r>
        <w:rPr>
          <w:spacing w:val="-3"/>
          <w:sz w:val="28"/>
        </w:rPr>
        <w:t>后方可再次申报”、新增纪律处分“</w:t>
      </w:r>
      <w:r>
        <w:rPr>
          <w:rFonts w:ascii="Arial" w:eastAsia="Arial" w:hAnsi="Arial"/>
          <w:sz w:val="28"/>
        </w:rPr>
        <w:t>1</w:t>
      </w:r>
      <w:r>
        <w:rPr>
          <w:sz w:val="28"/>
        </w:rPr>
        <w:t>年至</w:t>
      </w:r>
      <w:r>
        <w:rPr>
          <w:rFonts w:ascii="Arial" w:eastAsia="Arial" w:hAnsi="Arial"/>
          <w:spacing w:val="-3"/>
          <w:sz w:val="28"/>
        </w:rPr>
        <w:t>5</w:t>
      </w:r>
      <w:r>
        <w:rPr>
          <w:spacing w:val="-2"/>
          <w:sz w:val="28"/>
        </w:rPr>
        <w:t>年内不接受发行</w:t>
      </w:r>
      <w:r>
        <w:rPr>
          <w:spacing w:val="-3"/>
          <w:sz w:val="28"/>
        </w:rPr>
        <w:t>人的控股股东、实际控制人及其控制的其他发行人提交的发行上市申请文件”、“收到现场检查、现场督导通知后撤材料的，</w:t>
      </w:r>
      <w:r>
        <w:rPr>
          <w:rFonts w:ascii="Arial" w:eastAsia="Arial" w:hAnsi="Arial"/>
          <w:sz w:val="28"/>
        </w:rPr>
        <w:t>6</w:t>
      </w:r>
      <w:r>
        <w:rPr>
          <w:spacing w:val="-1"/>
          <w:sz w:val="28"/>
        </w:rPr>
        <w:t>个月后发</w:t>
      </w:r>
      <w:r>
        <w:rPr>
          <w:spacing w:val="-3"/>
          <w:sz w:val="28"/>
        </w:rPr>
        <w:t>行人方可再次申报”、第六十一条第二点将处罚的情形从申报文件“重大缺陷”变为“明显瑕疵”等等。</w:t>
      </w:r>
    </w:p>
    <w:p w14:paraId="7AC159CC" w14:textId="77777777" w:rsidR="004634C9" w:rsidRDefault="004634C9">
      <w:pPr>
        <w:spacing w:line="218" w:lineRule="auto"/>
        <w:jc w:val="both"/>
        <w:rPr>
          <w:sz w:val="28"/>
        </w:rPr>
        <w:sectPr w:rsidR="004634C9">
          <w:pgSz w:w="19200" w:h="10800" w:orient="landscape"/>
          <w:pgMar w:top="1200" w:right="0" w:bottom="280" w:left="0" w:header="523" w:footer="0" w:gutter="0"/>
          <w:cols w:space="720"/>
        </w:sectPr>
      </w:pPr>
    </w:p>
    <w:p w14:paraId="669EE9B5" w14:textId="77777777" w:rsidR="004634C9" w:rsidRDefault="00000000">
      <w:pPr>
        <w:pStyle w:val="a3"/>
        <w:spacing w:before="11"/>
        <w:rPr>
          <w:sz w:val="11"/>
        </w:rPr>
      </w:pPr>
      <w:r>
        <w:rPr>
          <w:noProof/>
        </w:rPr>
        <w:lastRenderedPageBreak/>
        <w:drawing>
          <wp:anchor distT="0" distB="0" distL="0" distR="0" simplePos="0" relativeHeight="251687936" behindDoc="0" locked="0" layoutInCell="1" allowOverlap="1" wp14:anchorId="4DA7499D" wp14:editId="25BFE5CD">
            <wp:simplePos x="0" y="0"/>
            <wp:positionH relativeFrom="page">
              <wp:posOffset>9552431</wp:posOffset>
            </wp:positionH>
            <wp:positionV relativeFrom="page">
              <wp:posOffset>332231</wp:posOffset>
            </wp:positionV>
            <wp:extent cx="2231135" cy="438911"/>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4DDFB42D">
          <v:group id="_x0000_s2227" style="position:absolute;margin-left:31.2pt;margin-top:26.15pt;width:52.95pt;height:28.45pt;z-index:251688960;mso-position-horizontal-relative:page;mso-position-vertical-relative:page" coordorigin="624,523" coordsize="1059,569">
            <v:shape id="_x0000_s2229" style="position:absolute;left:624;top:535;width:586;height:557" coordorigin="624,535" coordsize="586,557" path="m931,535r-307,l902,814,624,1092r307,l1210,814,931,535xe" fillcolor="#be1b1b" stroked="f">
              <v:path arrowok="t"/>
            </v:shape>
            <v:shape id="_x0000_s2228" style="position:absolute;left:1096;top:523;width:586;height:557" coordorigin="1097,523" coordsize="586,557" path="m1404,523r-307,l1375,802r-278,278l1404,1080,1682,802,1404,523xe" fillcolor="#d9d9d9" stroked="f">
              <v:path arrowok="t"/>
            </v:shape>
            <w10:wrap anchorx="page" anchory="page"/>
          </v:group>
        </w:pict>
      </w:r>
      <w:r>
        <w:pict w14:anchorId="1A0FFFDC">
          <v:shape id="_x0000_s2226" style="position:absolute;margin-left:96.35pt;margin-top:33.9pt;width:26.5pt;height:14.65pt;z-index:251689984;mso-position-horizontal-relative:page;mso-position-vertical-relative:page" coordorigin="1927,678" coordsize="530,293" o:spt="100" adj="0,,0" path="m2112,724r-73,l2048,727r13,13l2065,750r,23l2061,784r-8,12l2047,803r-9,10l2025,827r-17,16l1987,863r-18,18l1956,897r-10,14l1939,925r-6,13l1930,952r-3,14l2120,966r,-51l2011,915r3,-5l2017,905r5,-5l2027,895r7,-7l2043,879r12,-11l2067,857r10,-10l2085,839r6,-7l2098,822r6,-9l2109,804r4,-9l2118,783r2,-12l2120,758r-2,-16l2114,727r-2,-3xm2029,678r-19,1l1993,683r-15,6l1964,698r-11,11l1944,724r-7,18l1934,763r54,6l1989,753r4,-12l2000,734r7,-7l2016,724r96,l2106,713r-10,-12l2082,691r-15,-7l2049,680r-20,-2xm2224,911r-55,l2169,966r55,l2224,911xm2319,884r-53,6l2269,907r6,16l2284,937r12,12l2309,959r16,7l2342,970r18,1l2380,970r18,-6l2414,956r15,-12l2441,930r3,-4l2349,926r-9,-4l2325,908r-4,-11l2319,884xm2439,833r-67,l2382,837r7,8l2396,853r4,11l2400,892r-4,12l2381,921r-10,5l2444,926r6,-11l2455,898r1,-18l2455,868r-2,-12l2448,845r-6,-9l2439,833xm2437,723r-71,l2374,726r6,6l2385,738r3,7l2388,766r-4,10l2369,789r-12,3l2343,792r-7,45l2346,834r9,-1l2439,833r-5,-6l2424,821r-10,-6l2402,812r18,-12l2427,792r-70,l2343,792r84,l2433,786r8,-16l2444,752r-2,-13l2439,727r-1,-1l2437,723xm2358,678r-11,1l2336,680r-11,3l2316,687r-13,6l2293,701r-7,11l2281,720r-4,10l2273,741r-3,12l2321,762r1,-13l2326,740r7,-7l2339,727r8,-4l2437,723r-5,-8l2423,704r-13,-11l2395,685r-17,-5l2358,678xe" fillcolor="#0d0d0d" stroked="f">
            <v:stroke joinstyle="round"/>
            <v:formulas/>
            <v:path arrowok="t" o:connecttype="segments"/>
            <w10:wrap anchorx="page" anchory="page"/>
          </v:shape>
        </w:pict>
      </w:r>
      <w:r>
        <w:rPr>
          <w:noProof/>
        </w:rPr>
        <w:drawing>
          <wp:anchor distT="0" distB="0" distL="0" distR="0" simplePos="0" relativeHeight="251691008" behindDoc="0" locked="0" layoutInCell="1" allowOverlap="1" wp14:anchorId="72D768C5" wp14:editId="4CDB4334">
            <wp:simplePos x="0" y="0"/>
            <wp:positionH relativeFrom="page">
              <wp:posOffset>1643252</wp:posOffset>
            </wp:positionH>
            <wp:positionV relativeFrom="page">
              <wp:posOffset>398906</wp:posOffset>
            </wp:positionV>
            <wp:extent cx="6347841" cy="251840"/>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5" cstate="print"/>
                    <a:stretch>
                      <a:fillRect/>
                    </a:stretch>
                  </pic:blipFill>
                  <pic:spPr>
                    <a:xfrm>
                      <a:off x="0" y="0"/>
                      <a:ext cx="6347841" cy="251840"/>
                    </a:xfrm>
                    <a:prstGeom prst="rect">
                      <a:avLst/>
                    </a:prstGeom>
                  </pic:spPr>
                </pic:pic>
              </a:graphicData>
            </a:graphic>
          </wp:anchor>
        </w:drawing>
      </w:r>
    </w:p>
    <w:p w14:paraId="7978C135" w14:textId="77777777" w:rsidR="004634C9" w:rsidRDefault="00000000">
      <w:pPr>
        <w:pStyle w:val="a4"/>
        <w:numPr>
          <w:ilvl w:val="0"/>
          <w:numId w:val="9"/>
        </w:numPr>
        <w:tabs>
          <w:tab w:val="left" w:pos="1256"/>
        </w:tabs>
        <w:spacing w:before="16"/>
        <w:ind w:left="1255" w:hanging="317"/>
        <w:rPr>
          <w:sz w:val="32"/>
        </w:rPr>
      </w:pPr>
      <w:bookmarkStart w:id="13" w:name="幻灯片_14"/>
      <w:bookmarkEnd w:id="13"/>
      <w:r>
        <w:rPr>
          <w:rFonts w:ascii="Arial" w:eastAsia="Arial" w:hAnsi="Arial"/>
          <w:sz w:val="32"/>
        </w:rPr>
        <w:t>2022</w:t>
      </w:r>
      <w:r>
        <w:rPr>
          <w:sz w:val="32"/>
        </w:rPr>
        <w:t>年</w:t>
      </w:r>
      <w:r>
        <w:rPr>
          <w:rFonts w:ascii="Arial" w:eastAsia="Arial" w:hAnsi="Arial"/>
          <w:sz w:val="32"/>
        </w:rPr>
        <w:t>8</w:t>
      </w:r>
      <w:r>
        <w:rPr>
          <w:sz w:val="32"/>
        </w:rPr>
        <w:t>月，工信部《优质中小企业梯度培育管理暂行办法》正式施行。标志着我国形成了“地方级创新型中小企业”、</w:t>
      </w:r>
    </w:p>
    <w:p w14:paraId="28990325" w14:textId="77777777" w:rsidR="004634C9" w:rsidRDefault="00000000">
      <w:pPr>
        <w:pStyle w:val="a3"/>
        <w:spacing w:line="538" w:lineRule="exact"/>
        <w:ind w:left="1211"/>
      </w:pPr>
      <w:r>
        <w:t>“省级专精特新中小企业”、和“国家级专精特新‘小巨人’企业”三个层次的优质中小企业孵化培育体系。</w:t>
      </w:r>
    </w:p>
    <w:p w14:paraId="111A63B5" w14:textId="77777777" w:rsidR="004634C9" w:rsidRDefault="00000000">
      <w:pPr>
        <w:pStyle w:val="a4"/>
        <w:numPr>
          <w:ilvl w:val="0"/>
          <w:numId w:val="9"/>
        </w:numPr>
        <w:tabs>
          <w:tab w:val="left" w:pos="1256"/>
        </w:tabs>
        <w:spacing w:before="12" w:line="218" w:lineRule="auto"/>
        <w:ind w:right="671" w:hanging="272"/>
        <w:rPr>
          <w:sz w:val="32"/>
        </w:rPr>
      </w:pPr>
      <w:r>
        <w:rPr>
          <w:w w:val="95"/>
          <w:sz w:val="32"/>
        </w:rPr>
        <w:t>北交所定位于“</w:t>
      </w:r>
      <w:r>
        <w:rPr>
          <w:b/>
          <w:i/>
          <w:color w:val="FF0000"/>
          <w:w w:val="95"/>
          <w:sz w:val="32"/>
        </w:rPr>
        <w:t>服务创新型中小企业的主战场</w:t>
      </w:r>
      <w:r>
        <w:rPr>
          <w:spacing w:val="-1"/>
          <w:w w:val="95"/>
          <w:sz w:val="32"/>
        </w:rPr>
        <w:t xml:space="preserve">”，目前来看，科创板出台了“科创属性”标准，创业板出台了“三创四新”        </w:t>
      </w:r>
      <w:r>
        <w:rPr>
          <w:sz w:val="32"/>
        </w:rPr>
        <w:t>标准，但北交所对中小企业“创新性”的标准有待公布。</w:t>
      </w:r>
    </w:p>
    <w:p w14:paraId="3C6FD23F" w14:textId="77777777" w:rsidR="004634C9" w:rsidRDefault="00000000">
      <w:pPr>
        <w:pStyle w:val="a4"/>
        <w:numPr>
          <w:ilvl w:val="0"/>
          <w:numId w:val="9"/>
        </w:numPr>
        <w:tabs>
          <w:tab w:val="left" w:pos="1256"/>
        </w:tabs>
        <w:spacing w:line="554" w:lineRule="exact"/>
        <w:ind w:left="1255" w:hanging="317"/>
        <w:rPr>
          <w:sz w:val="32"/>
        </w:rPr>
      </w:pPr>
      <w:r>
        <w:rPr>
          <w:sz w:val="32"/>
        </w:rPr>
        <w:t>北交所成立后，发行新股中的专精特新“小巨人”占比超一半，预计未来将得到强化。</w:t>
      </w:r>
    </w:p>
    <w:p w14:paraId="28E19D45" w14:textId="77777777" w:rsidR="004634C9" w:rsidRDefault="004634C9">
      <w:pPr>
        <w:pStyle w:val="a3"/>
        <w:rPr>
          <w:sz w:val="23"/>
        </w:rPr>
      </w:pPr>
    </w:p>
    <w:p w14:paraId="725B267F" w14:textId="77777777" w:rsidR="004634C9" w:rsidRDefault="00000000">
      <w:pPr>
        <w:pStyle w:val="4"/>
        <w:tabs>
          <w:tab w:val="left" w:pos="12252"/>
        </w:tabs>
        <w:spacing w:before="17"/>
        <w:ind w:left="1812"/>
      </w:pPr>
      <w:r>
        <w:rPr>
          <w:color w:val="BE1B1B"/>
        </w:rPr>
        <w:t>北交所成立后“专精特新‘小巨人’”占比上升</w:t>
      </w:r>
      <w:r>
        <w:rPr>
          <w:color w:val="BE1B1B"/>
        </w:rPr>
        <w:tab/>
      </w:r>
      <w:r>
        <w:rPr>
          <w:color w:val="BE1B1B"/>
          <w:position w:val="2"/>
        </w:rPr>
        <w:t>专精特新小巨人最新评定标准</w:t>
      </w:r>
    </w:p>
    <w:p w14:paraId="2DE0CC73" w14:textId="77777777" w:rsidR="004634C9" w:rsidRDefault="004634C9">
      <w:pPr>
        <w:pStyle w:val="a3"/>
        <w:spacing w:before="9"/>
        <w:rPr>
          <w:b/>
          <w:i/>
          <w:sz w:val="10"/>
        </w:rPr>
      </w:pPr>
    </w:p>
    <w:tbl>
      <w:tblPr>
        <w:tblStyle w:val="TableNormal"/>
        <w:tblW w:w="0" w:type="auto"/>
        <w:tblInd w:w="1042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686"/>
        <w:gridCol w:w="6340"/>
      </w:tblGrid>
      <w:tr w:rsidR="004634C9" w14:paraId="5BA7726C" w14:textId="77777777">
        <w:trPr>
          <w:trHeight w:val="360"/>
        </w:trPr>
        <w:tc>
          <w:tcPr>
            <w:tcW w:w="1686" w:type="dxa"/>
            <w:tcBorders>
              <w:top w:val="nil"/>
              <w:left w:val="nil"/>
              <w:bottom w:val="nil"/>
            </w:tcBorders>
            <w:shd w:val="clear" w:color="auto" w:fill="A40020"/>
          </w:tcPr>
          <w:p w14:paraId="24102A6D" w14:textId="77777777" w:rsidR="004634C9" w:rsidRDefault="004634C9">
            <w:pPr>
              <w:pStyle w:val="TableParagraph"/>
              <w:rPr>
                <w:rFonts w:ascii="Times New Roman"/>
                <w:sz w:val="26"/>
              </w:rPr>
            </w:pPr>
          </w:p>
        </w:tc>
        <w:tc>
          <w:tcPr>
            <w:tcW w:w="6340" w:type="dxa"/>
            <w:tcBorders>
              <w:top w:val="nil"/>
              <w:bottom w:val="nil"/>
            </w:tcBorders>
            <w:shd w:val="clear" w:color="auto" w:fill="A40020"/>
          </w:tcPr>
          <w:p w14:paraId="1B38587D" w14:textId="77777777" w:rsidR="004634C9" w:rsidRDefault="00000000">
            <w:pPr>
              <w:pStyle w:val="TableParagraph"/>
              <w:spacing w:line="340" w:lineRule="exact"/>
              <w:ind w:left="2323" w:right="2323"/>
              <w:jc w:val="center"/>
              <w:rPr>
                <w:rFonts w:ascii="Microsoft JhengHei" w:eastAsia="Microsoft JhengHei"/>
                <w:b/>
                <w:sz w:val="27"/>
              </w:rPr>
            </w:pPr>
            <w:r>
              <w:rPr>
                <w:rFonts w:ascii="Microsoft JhengHei" w:eastAsia="Microsoft JhengHei" w:hint="eastAsia"/>
                <w:b/>
                <w:color w:val="FFFFFF"/>
                <w:w w:val="95"/>
                <w:sz w:val="27"/>
              </w:rPr>
              <w:t>2024年第六批</w:t>
            </w:r>
          </w:p>
        </w:tc>
      </w:tr>
      <w:tr w:rsidR="004634C9" w14:paraId="55D4D542" w14:textId="77777777">
        <w:trPr>
          <w:trHeight w:val="344"/>
        </w:trPr>
        <w:tc>
          <w:tcPr>
            <w:tcW w:w="1686" w:type="dxa"/>
            <w:tcBorders>
              <w:top w:val="nil"/>
              <w:left w:val="single" w:sz="6" w:space="0" w:color="C00000"/>
              <w:bottom w:val="single" w:sz="6" w:space="0" w:color="C00000"/>
              <w:right w:val="single" w:sz="6" w:space="0" w:color="C00000"/>
            </w:tcBorders>
          </w:tcPr>
          <w:p w14:paraId="41DD9039" w14:textId="77777777" w:rsidR="004634C9" w:rsidRDefault="00000000">
            <w:pPr>
              <w:pStyle w:val="TableParagraph"/>
              <w:spacing w:before="14" w:line="310" w:lineRule="exact"/>
              <w:ind w:left="93" w:right="79"/>
              <w:jc w:val="center"/>
              <w:rPr>
                <w:sz w:val="27"/>
              </w:rPr>
            </w:pPr>
            <w:r>
              <w:rPr>
                <w:sz w:val="27"/>
              </w:rPr>
              <w:t>公布时间</w:t>
            </w:r>
          </w:p>
        </w:tc>
        <w:tc>
          <w:tcPr>
            <w:tcW w:w="6340" w:type="dxa"/>
            <w:tcBorders>
              <w:top w:val="nil"/>
              <w:left w:val="single" w:sz="6" w:space="0" w:color="C00000"/>
              <w:bottom w:val="single" w:sz="6" w:space="0" w:color="C00000"/>
              <w:right w:val="single" w:sz="6" w:space="0" w:color="C00000"/>
            </w:tcBorders>
          </w:tcPr>
          <w:p w14:paraId="6BF29F44" w14:textId="77777777" w:rsidR="004634C9" w:rsidRDefault="00000000">
            <w:pPr>
              <w:pStyle w:val="TableParagraph"/>
              <w:spacing w:before="14" w:line="310" w:lineRule="exact"/>
              <w:ind w:left="2323" w:right="2311"/>
              <w:jc w:val="center"/>
              <w:rPr>
                <w:sz w:val="27"/>
              </w:rPr>
            </w:pPr>
            <w:r>
              <w:rPr>
                <w:sz w:val="27"/>
              </w:rPr>
              <w:t>2024/4/17</w:t>
            </w:r>
          </w:p>
        </w:tc>
      </w:tr>
      <w:tr w:rsidR="004634C9" w14:paraId="61BBEFFB" w14:textId="77777777">
        <w:trPr>
          <w:trHeight w:val="344"/>
        </w:trPr>
        <w:tc>
          <w:tcPr>
            <w:tcW w:w="1686" w:type="dxa"/>
            <w:tcBorders>
              <w:top w:val="single" w:sz="6" w:space="0" w:color="C00000"/>
              <w:left w:val="single" w:sz="6" w:space="0" w:color="C00000"/>
              <w:bottom w:val="single" w:sz="6" w:space="0" w:color="C00000"/>
              <w:right w:val="single" w:sz="6" w:space="0" w:color="C00000"/>
            </w:tcBorders>
          </w:tcPr>
          <w:p w14:paraId="610631FF" w14:textId="77777777" w:rsidR="004634C9" w:rsidRDefault="00000000">
            <w:pPr>
              <w:pStyle w:val="TableParagraph"/>
              <w:spacing w:before="15" w:line="310" w:lineRule="exact"/>
              <w:ind w:left="93" w:right="79"/>
              <w:jc w:val="center"/>
              <w:rPr>
                <w:sz w:val="27"/>
              </w:rPr>
            </w:pPr>
            <w:r>
              <w:rPr>
                <w:w w:val="90"/>
                <w:sz w:val="27"/>
              </w:rPr>
              <w:t>累计公司家数</w:t>
            </w:r>
          </w:p>
        </w:tc>
        <w:tc>
          <w:tcPr>
            <w:tcW w:w="6340" w:type="dxa"/>
            <w:tcBorders>
              <w:top w:val="single" w:sz="6" w:space="0" w:color="C00000"/>
              <w:left w:val="single" w:sz="6" w:space="0" w:color="C00000"/>
              <w:bottom w:val="single" w:sz="6" w:space="0" w:color="C00000"/>
              <w:right w:val="single" w:sz="6" w:space="0" w:color="C00000"/>
            </w:tcBorders>
          </w:tcPr>
          <w:p w14:paraId="45B8E87D" w14:textId="77777777" w:rsidR="004634C9" w:rsidRDefault="00000000">
            <w:pPr>
              <w:pStyle w:val="TableParagraph"/>
              <w:spacing w:before="15" w:line="310" w:lineRule="exact"/>
              <w:ind w:left="2323" w:right="2309"/>
              <w:jc w:val="center"/>
              <w:rPr>
                <w:sz w:val="27"/>
              </w:rPr>
            </w:pPr>
            <w:r>
              <w:rPr>
                <w:sz w:val="27"/>
              </w:rPr>
              <w:t>超1.2万家</w:t>
            </w:r>
          </w:p>
        </w:tc>
      </w:tr>
      <w:tr w:rsidR="004634C9" w14:paraId="45BC250A" w14:textId="77777777">
        <w:trPr>
          <w:trHeight w:val="2504"/>
        </w:trPr>
        <w:tc>
          <w:tcPr>
            <w:tcW w:w="1686" w:type="dxa"/>
            <w:tcBorders>
              <w:top w:val="single" w:sz="6" w:space="0" w:color="C00000"/>
              <w:left w:val="single" w:sz="6" w:space="0" w:color="C00000"/>
              <w:bottom w:val="single" w:sz="6" w:space="0" w:color="C00000"/>
              <w:right w:val="single" w:sz="6" w:space="0" w:color="C00000"/>
            </w:tcBorders>
          </w:tcPr>
          <w:p w14:paraId="01F25198" w14:textId="77777777" w:rsidR="004634C9" w:rsidRDefault="004634C9">
            <w:pPr>
              <w:pStyle w:val="TableParagraph"/>
              <w:rPr>
                <w:rFonts w:ascii="微软雅黑"/>
                <w:b/>
                <w:i/>
                <w:sz w:val="26"/>
              </w:rPr>
            </w:pPr>
          </w:p>
          <w:p w14:paraId="4830ECCA" w14:textId="77777777" w:rsidR="004634C9" w:rsidRDefault="004634C9">
            <w:pPr>
              <w:pStyle w:val="TableParagraph"/>
              <w:spacing w:before="7"/>
              <w:rPr>
                <w:rFonts w:ascii="微软雅黑"/>
                <w:b/>
                <w:i/>
                <w:sz w:val="33"/>
              </w:rPr>
            </w:pPr>
          </w:p>
          <w:p w14:paraId="17F8E08C" w14:textId="77777777" w:rsidR="004634C9" w:rsidRDefault="00000000">
            <w:pPr>
              <w:pStyle w:val="TableParagraph"/>
              <w:ind w:left="93" w:right="79"/>
              <w:jc w:val="center"/>
              <w:rPr>
                <w:sz w:val="27"/>
              </w:rPr>
            </w:pPr>
            <w:r>
              <w:rPr>
                <w:sz w:val="27"/>
              </w:rPr>
              <w:t>主要指标</w:t>
            </w:r>
          </w:p>
        </w:tc>
        <w:tc>
          <w:tcPr>
            <w:tcW w:w="6340" w:type="dxa"/>
            <w:tcBorders>
              <w:top w:val="single" w:sz="6" w:space="0" w:color="C00000"/>
              <w:left w:val="single" w:sz="6" w:space="0" w:color="C00000"/>
              <w:bottom w:val="single" w:sz="6" w:space="0" w:color="C00000"/>
              <w:right w:val="single" w:sz="6" w:space="0" w:color="C00000"/>
            </w:tcBorders>
          </w:tcPr>
          <w:p w14:paraId="41CB1933" w14:textId="77777777" w:rsidR="004634C9" w:rsidRDefault="00000000">
            <w:pPr>
              <w:pStyle w:val="TableParagraph"/>
              <w:spacing w:before="15" w:line="309" w:lineRule="exact"/>
              <w:ind w:left="46"/>
              <w:rPr>
                <w:sz w:val="27"/>
              </w:rPr>
            </w:pPr>
            <w:r>
              <w:rPr>
                <w:sz w:val="27"/>
              </w:rPr>
              <w:t>1.经营3年以上，主营占比70%以上；</w:t>
            </w:r>
          </w:p>
          <w:p w14:paraId="2792982A" w14:textId="77777777" w:rsidR="004634C9" w:rsidRDefault="00000000">
            <w:pPr>
              <w:pStyle w:val="TableParagraph"/>
              <w:spacing w:line="391" w:lineRule="exact"/>
              <w:ind w:left="46"/>
              <w:rPr>
                <w:rFonts w:ascii="Microsoft JhengHei" w:eastAsia="Microsoft JhengHei"/>
                <w:b/>
                <w:sz w:val="27"/>
              </w:rPr>
            </w:pPr>
            <w:r>
              <w:rPr>
                <w:rFonts w:ascii="Microsoft JhengHei" w:eastAsia="Microsoft JhengHei" w:hint="eastAsia"/>
                <w:b/>
                <w:spacing w:val="12"/>
                <w:w w:val="85"/>
                <w:sz w:val="27"/>
              </w:rPr>
              <w:t>2.近2年收入平均增长5%以上;</w:t>
            </w:r>
          </w:p>
          <w:p w14:paraId="3DE4468B" w14:textId="77777777" w:rsidR="004634C9" w:rsidRDefault="00000000">
            <w:pPr>
              <w:pStyle w:val="TableParagraph"/>
              <w:spacing w:line="360" w:lineRule="exact"/>
              <w:ind w:left="46"/>
              <w:rPr>
                <w:rFonts w:ascii="Microsoft JhengHei" w:eastAsia="Microsoft JhengHei"/>
                <w:b/>
                <w:sz w:val="27"/>
              </w:rPr>
            </w:pPr>
            <w:r>
              <w:rPr>
                <w:rFonts w:ascii="Microsoft JhengHei" w:eastAsia="Microsoft JhengHei" w:hint="eastAsia"/>
                <w:b/>
                <w:spacing w:val="12"/>
                <w:w w:val="85"/>
                <w:sz w:val="27"/>
              </w:rPr>
              <w:t>3.主导产品全国市占10%以上；</w:t>
            </w:r>
          </w:p>
          <w:p w14:paraId="797320AE" w14:textId="77777777" w:rsidR="004634C9" w:rsidRDefault="00000000">
            <w:pPr>
              <w:pStyle w:val="TableParagraph"/>
              <w:spacing w:line="405" w:lineRule="exact"/>
              <w:ind w:left="46"/>
              <w:rPr>
                <w:sz w:val="27"/>
              </w:rPr>
            </w:pPr>
            <w:r>
              <w:rPr>
                <w:rFonts w:ascii="Microsoft JhengHei" w:eastAsia="Microsoft JhengHei" w:hint="eastAsia"/>
                <w:b/>
                <w:spacing w:val="11"/>
                <w:w w:val="85"/>
                <w:sz w:val="27"/>
              </w:rPr>
              <w:t>4.1亿以上营收公司研发支出不低于</w:t>
            </w:r>
            <w:r>
              <w:rPr>
                <w:rFonts w:ascii="Microsoft JhengHei" w:eastAsia="Microsoft JhengHei" w:hint="eastAsia"/>
                <w:b/>
                <w:spacing w:val="12"/>
                <w:w w:val="85"/>
                <w:sz w:val="27"/>
              </w:rPr>
              <w:t>3%，</w:t>
            </w:r>
            <w:r>
              <w:rPr>
                <w:w w:val="85"/>
                <w:sz w:val="27"/>
              </w:rPr>
              <w:t>研发人员占比不</w:t>
            </w:r>
          </w:p>
          <w:p w14:paraId="50B9996A" w14:textId="77777777" w:rsidR="004634C9" w:rsidRDefault="00000000">
            <w:pPr>
              <w:pStyle w:val="TableParagraph"/>
              <w:spacing w:line="322" w:lineRule="exact"/>
              <w:ind w:left="46"/>
              <w:rPr>
                <w:sz w:val="27"/>
              </w:rPr>
            </w:pPr>
            <w:r>
              <w:rPr>
                <w:spacing w:val="-1"/>
                <w:w w:val="90"/>
                <w:sz w:val="27"/>
              </w:rPr>
              <w:t>低于15%；2项发明专利或5项其他专利。5000万-1亿营收公</w:t>
            </w:r>
          </w:p>
          <w:p w14:paraId="7B3F480D" w14:textId="77777777" w:rsidR="004634C9" w:rsidRDefault="00000000">
            <w:pPr>
              <w:pStyle w:val="TableParagraph"/>
              <w:spacing w:line="360" w:lineRule="atLeast"/>
              <w:ind w:left="46" w:right="42"/>
              <w:rPr>
                <w:sz w:val="27"/>
              </w:rPr>
            </w:pPr>
            <w:r>
              <w:rPr>
                <w:w w:val="90"/>
                <w:sz w:val="27"/>
              </w:rPr>
              <w:t>司研发支出不低于6%；不足5000万营收公司2年内8000万融</w:t>
            </w:r>
            <w:r>
              <w:rPr>
                <w:w w:val="95"/>
                <w:sz w:val="27"/>
              </w:rPr>
              <w:t>资且研发投入3000万以上/研发人员占比50%以上。</w:t>
            </w:r>
          </w:p>
        </w:tc>
      </w:tr>
    </w:tbl>
    <w:p w14:paraId="5DE5D675" w14:textId="77777777" w:rsidR="004634C9" w:rsidRDefault="004634C9">
      <w:pPr>
        <w:pStyle w:val="a3"/>
        <w:spacing w:before="14"/>
        <w:rPr>
          <w:b/>
          <w:i/>
          <w:sz w:val="13"/>
        </w:rPr>
      </w:pPr>
    </w:p>
    <w:p w14:paraId="556140F0" w14:textId="77777777" w:rsidR="004634C9" w:rsidRDefault="00000000">
      <w:pPr>
        <w:spacing w:before="28" w:line="485" w:lineRule="exact"/>
        <w:ind w:left="10553"/>
        <w:rPr>
          <w:sz w:val="28"/>
        </w:rPr>
      </w:pPr>
      <w:r>
        <w:rPr>
          <w:noProof/>
        </w:rPr>
        <w:drawing>
          <wp:anchor distT="0" distB="0" distL="0" distR="0" simplePos="0" relativeHeight="251692032" behindDoc="0" locked="0" layoutInCell="1" allowOverlap="1" wp14:anchorId="12AE02A0" wp14:editId="38A77AB5">
            <wp:simplePos x="0" y="0"/>
            <wp:positionH relativeFrom="page">
              <wp:posOffset>570814</wp:posOffset>
            </wp:positionH>
            <wp:positionV relativeFrom="paragraph">
              <wp:posOffset>-2565617</wp:posOffset>
            </wp:positionV>
            <wp:extent cx="5475482" cy="2853605"/>
            <wp:effectExtent l="0" t="0" r="0" b="0"/>
            <wp:wrapNone/>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6" cstate="print"/>
                    <a:stretch>
                      <a:fillRect/>
                    </a:stretch>
                  </pic:blipFill>
                  <pic:spPr>
                    <a:xfrm>
                      <a:off x="0" y="0"/>
                      <a:ext cx="5475482" cy="2853605"/>
                    </a:xfrm>
                    <a:prstGeom prst="rect">
                      <a:avLst/>
                    </a:prstGeom>
                  </pic:spPr>
                </pic:pic>
              </a:graphicData>
            </a:graphic>
          </wp:anchor>
        </w:drawing>
      </w:r>
      <w:r>
        <w:rPr>
          <w:color w:val="7E7E7E"/>
          <w:sz w:val="28"/>
        </w:rPr>
        <w:t>资料来源：工信部网站，光明网，万联证券研究所</w:t>
      </w:r>
    </w:p>
    <w:p w14:paraId="0F050963" w14:textId="77777777" w:rsidR="004634C9" w:rsidRDefault="00000000">
      <w:pPr>
        <w:spacing w:line="485" w:lineRule="exact"/>
        <w:ind w:left="900"/>
        <w:rPr>
          <w:sz w:val="28"/>
        </w:rPr>
      </w:pPr>
      <w:r>
        <w:rPr>
          <w:color w:val="7E7E7E"/>
          <w:sz w:val="28"/>
        </w:rPr>
        <w:t>资料来源：申万宏源证券研究所</w:t>
      </w:r>
    </w:p>
    <w:p w14:paraId="4F45D868" w14:textId="77777777" w:rsidR="004634C9" w:rsidRDefault="004634C9">
      <w:pPr>
        <w:spacing w:line="485" w:lineRule="exact"/>
        <w:rPr>
          <w:sz w:val="28"/>
        </w:rPr>
        <w:sectPr w:rsidR="004634C9">
          <w:headerReference w:type="default" r:id="rId27"/>
          <w:pgSz w:w="19200" w:h="10800" w:orient="landscape"/>
          <w:pgMar w:top="1200" w:right="0" w:bottom="280" w:left="0" w:header="523" w:footer="0" w:gutter="0"/>
          <w:cols w:space="720"/>
        </w:sectPr>
      </w:pPr>
    </w:p>
    <w:p w14:paraId="458BE586" w14:textId="77777777" w:rsidR="004634C9" w:rsidRDefault="00000000">
      <w:pPr>
        <w:pStyle w:val="a3"/>
        <w:spacing w:before="16"/>
        <w:rPr>
          <w:sz w:val="9"/>
        </w:rPr>
      </w:pPr>
      <w:r>
        <w:lastRenderedPageBreak/>
        <w:pict w14:anchorId="0C1B4FA4">
          <v:shape id="_x0000_s2225" style="position:absolute;margin-left:96.35pt;margin-top:33.9pt;width:26.9pt;height:14.4pt;z-index:251693056;mso-position-horizontal-relative:page;mso-position-vertical-relative:page" coordorigin="1927,678" coordsize="538,288" o:spt="100" adj="0,,0" path="m2112,724r-73,l2048,727r13,13l2065,750r,23l2061,784r-8,12l2047,803r-9,10l2025,827r-17,16l1987,863r-18,18l1956,897r-10,14l1939,925r-6,13l1930,952r-3,14l2120,966r,-51l2011,915r3,-5l2017,905r5,-5l2027,895r7,-7l2043,879r12,-11l2067,857r10,-10l2085,839r6,-7l2098,822r6,-9l2109,804r4,-9l2118,783r2,-12l2120,758r-2,-16l2114,727r-2,-3xm2029,678r-19,1l1993,683r-15,6l1964,698r-11,11l1944,724r-7,18l1934,763r54,6l1989,753r4,-12l2000,734r7,-7l2016,724r96,l2106,713r-10,-12l2082,691r-15,-7l2049,680r-20,-2xm2224,911r-55,l2169,966r55,l2224,911xm2429,908r-53,l2376,966r53,l2429,908xm2429,678r-46,l2258,860r,48l2464,908r,-48l2310,860r66,-98l2429,762r,-84xm2429,762r-53,l2376,860r53,l2429,762xe" fillcolor="#0d0d0d" stroked="f">
            <v:stroke joinstyle="round"/>
            <v:formulas/>
            <v:path arrowok="t" o:connecttype="segments"/>
            <w10:wrap anchorx="page" anchory="page"/>
          </v:shape>
        </w:pict>
      </w:r>
      <w:r>
        <w:rPr>
          <w:noProof/>
        </w:rPr>
        <w:drawing>
          <wp:anchor distT="0" distB="0" distL="0" distR="0" simplePos="0" relativeHeight="251694080" behindDoc="0" locked="0" layoutInCell="1" allowOverlap="1" wp14:anchorId="0ECB10E9" wp14:editId="1F547551">
            <wp:simplePos x="0" y="0"/>
            <wp:positionH relativeFrom="page">
              <wp:posOffset>1641982</wp:posOffset>
            </wp:positionH>
            <wp:positionV relativeFrom="page">
              <wp:posOffset>398906</wp:posOffset>
            </wp:positionV>
            <wp:extent cx="4318127" cy="249808"/>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28" cstate="print"/>
                    <a:stretch>
                      <a:fillRect/>
                    </a:stretch>
                  </pic:blipFill>
                  <pic:spPr>
                    <a:xfrm>
                      <a:off x="0" y="0"/>
                      <a:ext cx="4318127" cy="249808"/>
                    </a:xfrm>
                    <a:prstGeom prst="rect">
                      <a:avLst/>
                    </a:prstGeom>
                  </pic:spPr>
                </pic:pic>
              </a:graphicData>
            </a:graphic>
          </wp:anchor>
        </w:drawing>
      </w:r>
    </w:p>
    <w:p w14:paraId="22F1140F" w14:textId="77777777" w:rsidR="004634C9" w:rsidRDefault="00000000">
      <w:pPr>
        <w:pStyle w:val="a4"/>
        <w:numPr>
          <w:ilvl w:val="0"/>
          <w:numId w:val="10"/>
        </w:numPr>
        <w:tabs>
          <w:tab w:val="left" w:pos="1164"/>
        </w:tabs>
        <w:spacing w:before="16"/>
        <w:ind w:left="1163" w:hanging="317"/>
        <w:rPr>
          <w:sz w:val="32"/>
        </w:rPr>
      </w:pPr>
      <w:bookmarkStart w:id="14" w:name="幻灯片_15"/>
      <w:bookmarkEnd w:id="14"/>
      <w:r>
        <w:rPr>
          <w:sz w:val="32"/>
        </w:rPr>
        <w:t>新“国九条”提到“从严监管分拆上市”。</w:t>
      </w:r>
    </w:p>
    <w:p w14:paraId="159B36C7" w14:textId="77777777" w:rsidR="004634C9" w:rsidRDefault="00000000">
      <w:pPr>
        <w:pStyle w:val="a4"/>
        <w:numPr>
          <w:ilvl w:val="0"/>
          <w:numId w:val="10"/>
        </w:numPr>
        <w:tabs>
          <w:tab w:val="left" w:pos="1251"/>
        </w:tabs>
        <w:spacing w:before="12" w:line="218" w:lineRule="auto"/>
        <w:ind w:right="890" w:hanging="272"/>
        <w:rPr>
          <w:sz w:val="32"/>
        </w:rPr>
      </w:pPr>
      <w:r>
        <w:rPr>
          <w:rFonts w:ascii="Arial" w:eastAsia="Arial" w:hAnsi="Arial"/>
          <w:w w:val="95"/>
          <w:sz w:val="32"/>
        </w:rPr>
        <w:t>2022</w:t>
      </w:r>
      <w:r>
        <w:rPr>
          <w:w w:val="95"/>
          <w:sz w:val="32"/>
        </w:rPr>
        <w:t>年</w:t>
      </w:r>
      <w:r>
        <w:rPr>
          <w:rFonts w:ascii="Arial" w:eastAsia="Arial" w:hAnsi="Arial"/>
          <w:w w:val="95"/>
          <w:sz w:val="32"/>
        </w:rPr>
        <w:t>1</w:t>
      </w:r>
      <w:r>
        <w:rPr>
          <w:w w:val="95"/>
          <w:sz w:val="32"/>
        </w:rPr>
        <w:t>月</w:t>
      </w:r>
      <w:r>
        <w:rPr>
          <w:rFonts w:ascii="Arial" w:eastAsia="Arial" w:hAnsi="Arial"/>
          <w:w w:val="95"/>
          <w:sz w:val="32"/>
        </w:rPr>
        <w:t>5</w:t>
      </w:r>
      <w:r>
        <w:rPr>
          <w:w w:val="95"/>
          <w:sz w:val="32"/>
        </w:rPr>
        <w:t>日，中国证监会公布《上市公司分拆规则（试行</w:t>
      </w:r>
      <w:r>
        <w:rPr>
          <w:spacing w:val="3"/>
          <w:w w:val="95"/>
          <w:sz w:val="32"/>
        </w:rPr>
        <w:t>）</w:t>
      </w:r>
      <w:r>
        <w:rPr>
          <w:w w:val="95"/>
          <w:sz w:val="32"/>
        </w:rPr>
        <w:t>》，规范的是上市公司控股子公司在境内外证券市场</w:t>
      </w:r>
      <w:r>
        <w:rPr>
          <w:b/>
          <w:i/>
          <w:color w:val="FF0000"/>
          <w:w w:val="95"/>
          <w:sz w:val="32"/>
        </w:rPr>
        <w:t xml:space="preserve">首次公      </w:t>
      </w:r>
      <w:r>
        <w:rPr>
          <w:b/>
          <w:i/>
          <w:color w:val="FF0000"/>
          <w:sz w:val="32"/>
        </w:rPr>
        <w:t>开发行并上市</w:t>
      </w:r>
      <w:r>
        <w:rPr>
          <w:sz w:val="32"/>
        </w:rPr>
        <w:t>或者</w:t>
      </w:r>
      <w:r>
        <w:rPr>
          <w:b/>
          <w:i/>
          <w:color w:val="FF0000"/>
          <w:sz w:val="32"/>
        </w:rPr>
        <w:t>重组上市</w:t>
      </w:r>
      <w:r>
        <w:rPr>
          <w:sz w:val="32"/>
        </w:rPr>
        <w:t>的行为。而由于北交所是“</w:t>
      </w:r>
      <w:r>
        <w:rPr>
          <w:b/>
          <w:i/>
          <w:color w:val="FF0000"/>
          <w:sz w:val="32"/>
        </w:rPr>
        <w:t>向不特定合规投资者公开发行并上市</w:t>
      </w:r>
      <w:r>
        <w:rPr>
          <w:sz w:val="32"/>
        </w:rPr>
        <w:t>”，因此规则的适用性一直未明确，使得北交所形成了一批上市公司子公司的特色资产。</w:t>
      </w:r>
    </w:p>
    <w:p w14:paraId="7E913406" w14:textId="629FD437" w:rsidR="004634C9" w:rsidRDefault="00000000">
      <w:pPr>
        <w:pStyle w:val="4"/>
        <w:spacing w:before="59"/>
        <w:ind w:left="7658"/>
        <w:rPr>
          <w:color w:val="BE1B1B"/>
          <w:lang w:eastAsia="zh-CN"/>
        </w:rPr>
      </w:pPr>
      <w:r>
        <w:pict w14:anchorId="62F49BB7">
          <v:group id="_x0000_s2221" style="position:absolute;left:0;text-align:left;margin-left:738.95pt;margin-top:40pt;width:.95pt;height:16.8pt;z-index:-253393920;mso-position-horizontal-relative:page" coordorigin="14779,800" coordsize="19,336">
            <v:line id="_x0000_s2223" style="position:absolute" from="14788,809" to="14788,1135" strokecolor="white" strokeweight=".31733mm"/>
            <v:line id="_x0000_s2222" style="position:absolute" from="14788,800" to="14788,1135" strokecolor="white" strokeweight=".31733mm"/>
            <w10:wrap anchorx="page"/>
          </v:group>
        </w:pict>
      </w:r>
      <w:r>
        <w:rPr>
          <w:color w:val="BE1B1B"/>
        </w:rPr>
        <w:t>北交所代表子公司及其控股股东</w:t>
      </w:r>
    </w:p>
    <w:p w14:paraId="30FB9989" w14:textId="2B3313B1" w:rsidR="00252974" w:rsidRDefault="00252974" w:rsidP="00252974">
      <w:pPr>
        <w:pStyle w:val="4"/>
        <w:spacing w:before="59"/>
        <w:ind w:left="0"/>
        <w:jc w:val="center"/>
        <w:rPr>
          <w:rFonts w:hint="eastAsia"/>
          <w:lang w:eastAsia="zh-CN"/>
        </w:rPr>
      </w:pPr>
      <w:r w:rsidRPr="00252974">
        <w:rPr>
          <w:lang w:eastAsia="zh-CN"/>
        </w:rPr>
        <w:drawing>
          <wp:inline distT="0" distB="0" distL="0" distR="0" wp14:anchorId="618737ED" wp14:editId="1B797C01">
            <wp:extent cx="8568238" cy="1933287"/>
            <wp:effectExtent l="0" t="0" r="4445" b="0"/>
            <wp:docPr id="271834579" name="图片 2">
              <a:extLst xmlns:a="http://schemas.openxmlformats.org/drawingml/2006/main">
                <a:ext uri="{FF2B5EF4-FFF2-40B4-BE49-F238E27FC236}">
                  <a16:creationId xmlns:a16="http://schemas.microsoft.com/office/drawing/2014/main" id="{506AB96E-7E0D-988A-CA62-22ACA7E5E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06AB96E-7E0D-988A-CA62-22ACA7E5EE3C}"/>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68238" cy="19332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85D22D" w14:textId="77777777" w:rsidR="004634C9" w:rsidRDefault="004634C9">
      <w:pPr>
        <w:pStyle w:val="a3"/>
        <w:spacing w:before="3"/>
        <w:rPr>
          <w:b/>
          <w:i/>
          <w:sz w:val="8"/>
        </w:rPr>
      </w:pPr>
    </w:p>
    <w:p w14:paraId="32F2E0F7" w14:textId="77777777" w:rsidR="004634C9" w:rsidRDefault="004634C9">
      <w:pPr>
        <w:pStyle w:val="a3"/>
        <w:spacing w:before="15"/>
        <w:rPr>
          <w:b/>
          <w:i/>
          <w:sz w:val="22"/>
        </w:rPr>
      </w:pPr>
    </w:p>
    <w:p w14:paraId="2AAD3435" w14:textId="77777777" w:rsidR="004634C9" w:rsidRDefault="00000000">
      <w:pPr>
        <w:pStyle w:val="a4"/>
        <w:numPr>
          <w:ilvl w:val="0"/>
          <w:numId w:val="8"/>
        </w:numPr>
        <w:tabs>
          <w:tab w:val="left" w:pos="2244"/>
        </w:tabs>
        <w:spacing w:before="16" w:line="459" w:lineRule="exact"/>
        <w:ind w:hanging="453"/>
        <w:rPr>
          <w:sz w:val="32"/>
        </w:rPr>
      </w:pPr>
      <w:r>
        <w:pict w14:anchorId="5D06ADAB">
          <v:group id="_x0000_s2217" style="position:absolute;left:0;text-align:left;margin-left:142.7pt;margin-top:-21.75pt;width:4.25pt;height:.95pt;z-index:251697152;mso-position-horizontal-relative:page" coordorigin="2854,-435" coordsize="85,19">
            <v:rect id="_x0000_s2220" style="position:absolute;left:2853;top:-421;width:9;height:4" fillcolor="#c00000" stroked="f"/>
            <v:shape id="_x0000_s2219" style="position:absolute;left:2880;top:-436;width:58;height:13" coordorigin="2881,-435" coordsize="58,13" path="m2938,-435r-57,l2881,-423r57,-12xe" fillcolor="#c00000" stroked="f">
              <v:path arrowok="t"/>
            </v:shape>
            <v:shape id="_x0000_s2218" style="position:absolute;left:2871;top:-436;width:67;height:15" coordorigin="2872,-435" coordsize="67,15" path="m2938,-435r-66,l2872,-421r66,-14xe" fillcolor="#c00000" stroked="f">
              <v:path arrowok="t"/>
            </v:shape>
            <w10:wrap anchorx="page"/>
          </v:group>
        </w:pict>
      </w:r>
      <w:r>
        <w:rPr>
          <w:sz w:val="32"/>
        </w:rPr>
        <w:t>分拆的资产是不是非常优秀的资产？</w:t>
      </w:r>
    </w:p>
    <w:p w14:paraId="51B88BE0" w14:textId="77777777" w:rsidR="004634C9" w:rsidRDefault="00000000">
      <w:pPr>
        <w:pStyle w:val="a3"/>
        <w:tabs>
          <w:tab w:val="left" w:pos="1791"/>
          <w:tab w:val="left" w:pos="2243"/>
        </w:tabs>
        <w:spacing w:before="75" w:line="122" w:lineRule="auto"/>
        <w:ind w:left="1015" w:right="2882"/>
      </w:pPr>
      <w:r>
        <w:rPr>
          <w:position w:val="17"/>
        </w:rPr>
        <w:t>思</w:t>
      </w:r>
      <w:r>
        <w:rPr>
          <w:position w:val="17"/>
        </w:rPr>
        <w:tab/>
      </w:r>
      <w:r>
        <w:rPr>
          <w:rFonts w:ascii="Wingdings" w:eastAsia="Wingdings" w:hAnsi="Wingdings"/>
        </w:rPr>
        <w:t></w:t>
      </w:r>
      <w:r>
        <w:rPr>
          <w:rFonts w:ascii="Times New Roman" w:eastAsia="Times New Roman" w:hAnsi="Times New Roman"/>
          <w:spacing w:val="45"/>
        </w:rPr>
        <w:t xml:space="preserve"> </w:t>
      </w:r>
      <w:r>
        <w:t>分拆的资产业务独立性和资产完整性是否得到足够的保证？（同业竞争、利益冲突、业务独立、资</w:t>
      </w:r>
      <w:r>
        <w:rPr>
          <w:spacing w:val="-13"/>
        </w:rPr>
        <w:t>产</w:t>
      </w:r>
      <w:r>
        <w:rPr>
          <w:position w:val="17"/>
        </w:rPr>
        <w:t>考</w:t>
      </w:r>
      <w:r>
        <w:rPr>
          <w:position w:val="17"/>
        </w:rPr>
        <w:tab/>
      </w:r>
      <w:r>
        <w:rPr>
          <w:position w:val="17"/>
        </w:rPr>
        <w:tab/>
      </w:r>
      <w:r>
        <w:t>独立和财务独立）</w:t>
      </w:r>
    </w:p>
    <w:p w14:paraId="2FDAFA2D" w14:textId="77777777" w:rsidR="004634C9" w:rsidRDefault="00000000">
      <w:pPr>
        <w:pStyle w:val="a4"/>
        <w:numPr>
          <w:ilvl w:val="0"/>
          <w:numId w:val="8"/>
        </w:numPr>
        <w:tabs>
          <w:tab w:val="left" w:pos="2244"/>
        </w:tabs>
        <w:spacing w:line="497" w:lineRule="exact"/>
        <w:ind w:hanging="453"/>
        <w:rPr>
          <w:sz w:val="32"/>
        </w:rPr>
      </w:pPr>
      <w:r>
        <w:rPr>
          <w:sz w:val="32"/>
        </w:rPr>
        <w:t>分拆上市的时机是否成熟，是否已经完全符合</w:t>
      </w:r>
      <w:r>
        <w:rPr>
          <w:rFonts w:ascii="Arial" w:eastAsia="Arial" w:hAnsi="Arial"/>
          <w:sz w:val="32"/>
        </w:rPr>
        <w:t>IPO</w:t>
      </w:r>
      <w:r>
        <w:rPr>
          <w:sz w:val="32"/>
        </w:rPr>
        <w:t>上市成为公众公司的标准？</w:t>
      </w:r>
    </w:p>
    <w:p w14:paraId="7EBC561A" w14:textId="77777777" w:rsidR="004634C9" w:rsidRDefault="004634C9">
      <w:pPr>
        <w:pStyle w:val="a3"/>
        <w:spacing w:before="1"/>
        <w:rPr>
          <w:sz w:val="15"/>
        </w:rPr>
      </w:pPr>
    </w:p>
    <w:p w14:paraId="1A4027C5" w14:textId="77777777" w:rsidR="004634C9" w:rsidRDefault="00000000">
      <w:pPr>
        <w:spacing w:before="28"/>
        <w:ind w:left="2714"/>
        <w:rPr>
          <w:sz w:val="28"/>
        </w:rPr>
      </w:pPr>
      <w:r>
        <w:rPr>
          <w:color w:val="7E7E7E"/>
          <w:sz w:val="28"/>
        </w:rPr>
        <w:t>资料来源：同花顺，万联证券研究所</w:t>
      </w:r>
    </w:p>
    <w:p w14:paraId="2A428204" w14:textId="77777777" w:rsidR="004634C9" w:rsidRDefault="004634C9">
      <w:pPr>
        <w:rPr>
          <w:sz w:val="28"/>
        </w:rPr>
        <w:sectPr w:rsidR="004634C9">
          <w:headerReference w:type="default" r:id="rId30"/>
          <w:pgSz w:w="19200" w:h="10800" w:orient="landscape"/>
          <w:pgMar w:top="1200" w:right="0" w:bottom="0" w:left="0" w:header="523" w:footer="0" w:gutter="0"/>
          <w:cols w:space="720"/>
        </w:sectPr>
      </w:pPr>
    </w:p>
    <w:p w14:paraId="548297F0" w14:textId="77777777" w:rsidR="004634C9" w:rsidRDefault="004634C9">
      <w:pPr>
        <w:pStyle w:val="a3"/>
        <w:rPr>
          <w:sz w:val="20"/>
        </w:rPr>
      </w:pPr>
    </w:p>
    <w:p w14:paraId="310BACC7" w14:textId="77777777" w:rsidR="004634C9" w:rsidRDefault="004634C9">
      <w:pPr>
        <w:pStyle w:val="a3"/>
        <w:rPr>
          <w:sz w:val="20"/>
        </w:rPr>
      </w:pPr>
    </w:p>
    <w:p w14:paraId="27F018EC" w14:textId="77777777" w:rsidR="004634C9" w:rsidRDefault="004634C9">
      <w:pPr>
        <w:pStyle w:val="a3"/>
        <w:rPr>
          <w:sz w:val="20"/>
        </w:rPr>
      </w:pPr>
    </w:p>
    <w:p w14:paraId="40F8EC47" w14:textId="77777777" w:rsidR="004634C9" w:rsidRDefault="004634C9">
      <w:pPr>
        <w:pStyle w:val="a3"/>
        <w:rPr>
          <w:sz w:val="20"/>
        </w:rPr>
      </w:pPr>
    </w:p>
    <w:p w14:paraId="288D31C4" w14:textId="77777777" w:rsidR="004634C9" w:rsidRDefault="004634C9">
      <w:pPr>
        <w:pStyle w:val="a3"/>
        <w:rPr>
          <w:sz w:val="20"/>
        </w:rPr>
      </w:pPr>
    </w:p>
    <w:p w14:paraId="4BBAFB1A" w14:textId="77777777" w:rsidR="004634C9" w:rsidRDefault="004634C9">
      <w:pPr>
        <w:pStyle w:val="a3"/>
        <w:spacing w:before="12"/>
        <w:rPr>
          <w:sz w:val="23"/>
        </w:rPr>
      </w:pPr>
    </w:p>
    <w:p w14:paraId="5F3FF88C" w14:textId="77777777" w:rsidR="004634C9" w:rsidRDefault="00000000">
      <w:pPr>
        <w:tabs>
          <w:tab w:val="left" w:pos="3284"/>
          <w:tab w:val="left" w:pos="19199"/>
        </w:tabs>
        <w:spacing w:line="1619" w:lineRule="exact"/>
        <w:rPr>
          <w:b/>
          <w:i/>
          <w:sz w:val="96"/>
        </w:rPr>
      </w:pPr>
      <w:bookmarkStart w:id="15" w:name="幻灯片_16:_3._减持：严防绕道，新增约束"/>
      <w:bookmarkEnd w:id="15"/>
      <w:r>
        <w:rPr>
          <w:b/>
          <w:color w:val="FFFFFF"/>
          <w:sz w:val="96"/>
          <w:shd w:val="clear" w:color="auto" w:fill="C00000"/>
        </w:rPr>
        <w:t xml:space="preserve"> </w:t>
      </w:r>
      <w:r>
        <w:rPr>
          <w:b/>
          <w:color w:val="FFFFFF"/>
          <w:sz w:val="96"/>
          <w:shd w:val="clear" w:color="auto" w:fill="C00000"/>
        </w:rPr>
        <w:tab/>
        <w:t>3.</w:t>
      </w:r>
      <w:r>
        <w:rPr>
          <w:b/>
          <w:color w:val="FFFFFF"/>
          <w:spacing w:val="4"/>
          <w:sz w:val="96"/>
          <w:shd w:val="clear" w:color="auto" w:fill="C00000"/>
        </w:rPr>
        <w:t xml:space="preserve"> </w:t>
      </w:r>
      <w:r>
        <w:rPr>
          <w:b/>
          <w:i/>
          <w:color w:val="FFFFFF"/>
          <w:sz w:val="96"/>
          <w:shd w:val="clear" w:color="auto" w:fill="C00000"/>
        </w:rPr>
        <w:t>减持：严防绕道，新增约束</w:t>
      </w:r>
      <w:r>
        <w:rPr>
          <w:b/>
          <w:i/>
          <w:color w:val="FFFFFF"/>
          <w:sz w:val="96"/>
          <w:shd w:val="clear" w:color="auto" w:fill="C00000"/>
        </w:rPr>
        <w:tab/>
      </w:r>
    </w:p>
    <w:p w14:paraId="342F067A" w14:textId="77777777" w:rsidR="004634C9" w:rsidRDefault="004634C9">
      <w:pPr>
        <w:spacing w:line="1619" w:lineRule="exact"/>
        <w:rPr>
          <w:sz w:val="96"/>
        </w:rPr>
        <w:sectPr w:rsidR="004634C9">
          <w:pgSz w:w="19200" w:h="10800" w:orient="landscape"/>
          <w:pgMar w:top="1200" w:right="0" w:bottom="280" w:left="0" w:header="523" w:footer="0" w:gutter="0"/>
          <w:cols w:space="720"/>
        </w:sectPr>
      </w:pPr>
    </w:p>
    <w:p w14:paraId="0B183437" w14:textId="77777777" w:rsidR="004634C9" w:rsidRDefault="00000000">
      <w:pPr>
        <w:pStyle w:val="a3"/>
        <w:spacing w:before="11"/>
        <w:rPr>
          <w:b/>
          <w:i/>
          <w:sz w:val="11"/>
        </w:rPr>
      </w:pPr>
      <w:r>
        <w:lastRenderedPageBreak/>
        <w:pict w14:anchorId="6441726E">
          <v:shape id="_x0000_s2216" style="position:absolute;margin-left:91.1pt;margin-top:33.9pt;width:23.85pt;height:14.65pt;z-index:251698176;mso-position-horizontal-relative:page;mso-position-vertical-relative:page" coordorigin="1822,678" coordsize="477,293" o:spt="100" adj="0,,0" path="m1875,884r-53,6l1825,907r6,16l1840,937r12,12l1865,959r16,7l1898,970r18,1l1936,970r18,-6l1970,956r15,-12l1997,930r3,-4l1905,926r-9,-4l1881,908r-4,-11l1875,884xm1995,833r-67,l1938,837r7,8l1952,853r4,11l1956,892r-4,12l1937,921r-10,5l2000,926r6,-11l2011,898r1,-18l2011,868r-2,-12l2004,845r-6,-9l1995,833xm1993,723r-71,l1930,726r11,12l1944,745r,21l1940,776r-15,13l1913,792r-14,l1892,837r10,-3l1911,833r84,l1990,827r-10,-6l1970,815r-12,-3l1976,800r7,-8l1913,792r-14,l1983,792r6,-6l1997,770r3,-18l1998,739r-3,-12l1994,726r-1,-3xm1914,678r-11,1l1892,680r-11,3l1872,687r-13,6l1849,701r-7,11l1837,720r-4,10l1829,741r-3,12l1877,762r1,-13l1882,740r7,-7l1895,727r8,-4l1993,723r-5,-8l1979,704r-13,-11l1951,685r-17,-5l1914,678xm2114,911r-55,l2059,966r55,l2114,911xm2298,759r-55,l2243,966r55,l2298,759xm2298,678r-45,l2248,691r-8,12l2230,714r-11,10l2206,733r-11,8l2183,746r-11,5l2172,801r20,-8l2210,783r17,-11l2243,759r55,l2298,678xe" fillcolor="#0d0d0d" stroked="f">
            <v:stroke joinstyle="round"/>
            <v:formulas/>
            <v:path arrowok="t" o:connecttype="segments"/>
            <w10:wrap anchorx="page" anchory="page"/>
          </v:shape>
        </w:pict>
      </w:r>
      <w:r>
        <w:rPr>
          <w:noProof/>
        </w:rPr>
        <w:drawing>
          <wp:anchor distT="0" distB="0" distL="0" distR="0" simplePos="0" relativeHeight="251699200" behindDoc="0" locked="0" layoutInCell="1" allowOverlap="1" wp14:anchorId="3DCFC2B9" wp14:editId="666E0819">
            <wp:simplePos x="0" y="0"/>
            <wp:positionH relativeFrom="page">
              <wp:posOffset>1572641</wp:posOffset>
            </wp:positionH>
            <wp:positionV relativeFrom="page">
              <wp:posOffset>399668</wp:posOffset>
            </wp:positionV>
            <wp:extent cx="3676015" cy="249046"/>
            <wp:effectExtent l="0" t="0" r="0" b="0"/>
            <wp:wrapNone/>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31" cstate="print"/>
                    <a:stretch>
                      <a:fillRect/>
                    </a:stretch>
                  </pic:blipFill>
                  <pic:spPr>
                    <a:xfrm>
                      <a:off x="0" y="0"/>
                      <a:ext cx="3676015" cy="249046"/>
                    </a:xfrm>
                    <a:prstGeom prst="rect">
                      <a:avLst/>
                    </a:prstGeom>
                  </pic:spPr>
                </pic:pic>
              </a:graphicData>
            </a:graphic>
          </wp:anchor>
        </w:drawing>
      </w:r>
    </w:p>
    <w:p w14:paraId="3A97D6CE" w14:textId="77777777" w:rsidR="004634C9" w:rsidRDefault="00000000">
      <w:pPr>
        <w:pStyle w:val="a4"/>
        <w:numPr>
          <w:ilvl w:val="0"/>
          <w:numId w:val="7"/>
        </w:numPr>
        <w:tabs>
          <w:tab w:val="left" w:pos="1256"/>
        </w:tabs>
        <w:spacing w:before="16"/>
        <w:ind w:left="1255" w:hanging="317"/>
        <w:rPr>
          <w:sz w:val="32"/>
        </w:rPr>
      </w:pPr>
      <w:bookmarkStart w:id="16" w:name="幻灯片_17"/>
      <w:bookmarkEnd w:id="16"/>
      <w:r>
        <w:rPr>
          <w:b/>
          <w:i/>
          <w:spacing w:val="4"/>
          <w:sz w:val="32"/>
        </w:rPr>
        <w:t>防“绕道”：</w:t>
      </w:r>
      <w:r>
        <w:rPr>
          <w:spacing w:val="3"/>
          <w:sz w:val="32"/>
        </w:rPr>
        <w:t>北交所新增协议转让和大宗交易受让方限制期限，与沪深交易所统一；明确司法强制执行、融资融券违规处</w:t>
      </w:r>
    </w:p>
    <w:p w14:paraId="6E1878D8" w14:textId="77777777" w:rsidR="004634C9" w:rsidRDefault="00000000">
      <w:pPr>
        <w:pStyle w:val="a3"/>
        <w:spacing w:line="538" w:lineRule="exact"/>
        <w:ind w:left="1211"/>
      </w:pPr>
      <w:r>
        <w:t>置、赠与等继续遵守减持规定；</w:t>
      </w:r>
    </w:p>
    <w:p w14:paraId="3BE0F8C5" w14:textId="77777777" w:rsidR="004634C9" w:rsidRDefault="00000000">
      <w:pPr>
        <w:pStyle w:val="a4"/>
        <w:numPr>
          <w:ilvl w:val="0"/>
          <w:numId w:val="7"/>
        </w:numPr>
        <w:tabs>
          <w:tab w:val="left" w:pos="1256"/>
        </w:tabs>
        <w:ind w:left="1255" w:hanging="317"/>
        <w:rPr>
          <w:sz w:val="32"/>
        </w:rPr>
      </w:pPr>
      <w:r>
        <w:rPr>
          <w:b/>
          <w:i/>
          <w:sz w:val="32"/>
        </w:rPr>
        <w:t>北交所比沪深交易所略宽松：</w:t>
      </w:r>
      <w:r>
        <w:rPr>
          <w:spacing w:val="-1"/>
          <w:sz w:val="32"/>
        </w:rPr>
        <w:t>非控股股东和实控人的减持计划最长维持</w:t>
      </w:r>
      <w:r>
        <w:rPr>
          <w:rFonts w:ascii="Arial" w:eastAsia="Arial" w:hAnsi="Arial"/>
          <w:sz w:val="32"/>
        </w:rPr>
        <w:t>6</w:t>
      </w:r>
      <w:r>
        <w:rPr>
          <w:sz w:val="32"/>
        </w:rPr>
        <w:t>个月，而沪深交易所均减少至</w:t>
      </w:r>
      <w:r>
        <w:rPr>
          <w:rFonts w:ascii="Arial" w:eastAsia="Arial" w:hAnsi="Arial"/>
          <w:sz w:val="32"/>
        </w:rPr>
        <w:t>3</w:t>
      </w:r>
      <w:r>
        <w:rPr>
          <w:sz w:val="32"/>
        </w:rPr>
        <w:t>个月。</w:t>
      </w:r>
    </w:p>
    <w:p w14:paraId="40B4729C" w14:textId="77777777" w:rsidR="004634C9" w:rsidRDefault="004634C9">
      <w:pPr>
        <w:pStyle w:val="a3"/>
        <w:spacing w:before="18"/>
        <w:rPr>
          <w:sz w:val="16"/>
        </w:rPr>
      </w:pPr>
    </w:p>
    <w:p w14:paraId="659DAABA" w14:textId="77777777" w:rsidR="004634C9" w:rsidRDefault="00000000">
      <w:pPr>
        <w:pStyle w:val="4"/>
        <w:spacing w:before="15"/>
        <w:ind w:left="5330" w:right="5331"/>
        <w:jc w:val="center"/>
      </w:pPr>
      <w:r>
        <w:rPr>
          <w:noProof/>
        </w:rPr>
        <w:drawing>
          <wp:anchor distT="0" distB="0" distL="0" distR="0" simplePos="0" relativeHeight="249926656" behindDoc="1" locked="0" layoutInCell="1" allowOverlap="1" wp14:anchorId="26399F92" wp14:editId="0BAB5A84">
            <wp:simplePos x="0" y="0"/>
            <wp:positionH relativeFrom="page">
              <wp:posOffset>597408</wp:posOffset>
            </wp:positionH>
            <wp:positionV relativeFrom="paragraph">
              <wp:posOffset>336260</wp:posOffset>
            </wp:positionV>
            <wp:extent cx="10997184" cy="3749040"/>
            <wp:effectExtent l="0" t="0" r="0" b="0"/>
            <wp:wrapNone/>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32" cstate="print"/>
                    <a:stretch>
                      <a:fillRect/>
                    </a:stretch>
                  </pic:blipFill>
                  <pic:spPr>
                    <a:xfrm>
                      <a:off x="0" y="0"/>
                      <a:ext cx="10997184" cy="3749040"/>
                    </a:xfrm>
                    <a:prstGeom prst="rect">
                      <a:avLst/>
                    </a:prstGeom>
                  </pic:spPr>
                </pic:pic>
              </a:graphicData>
            </a:graphic>
          </wp:anchor>
        </w:drawing>
      </w:r>
      <w:r>
        <w:rPr>
          <w:color w:val="BE1B1B"/>
        </w:rPr>
        <w:t>沪深京交易所股份减持要素对比</w:t>
      </w:r>
    </w:p>
    <w:p w14:paraId="6CAB9C86" w14:textId="77777777" w:rsidR="004634C9" w:rsidRDefault="004634C9">
      <w:pPr>
        <w:pStyle w:val="a3"/>
        <w:rPr>
          <w:b/>
          <w:i/>
          <w:sz w:val="42"/>
        </w:rPr>
      </w:pPr>
    </w:p>
    <w:p w14:paraId="0EA0C3A8" w14:textId="77777777" w:rsidR="004634C9" w:rsidRDefault="004634C9">
      <w:pPr>
        <w:pStyle w:val="a3"/>
        <w:rPr>
          <w:b/>
          <w:i/>
          <w:sz w:val="42"/>
        </w:rPr>
      </w:pPr>
    </w:p>
    <w:p w14:paraId="487ECAFD" w14:textId="77777777" w:rsidR="004634C9" w:rsidRDefault="004634C9">
      <w:pPr>
        <w:pStyle w:val="a3"/>
        <w:rPr>
          <w:b/>
          <w:i/>
          <w:sz w:val="42"/>
        </w:rPr>
      </w:pPr>
    </w:p>
    <w:p w14:paraId="433E2646" w14:textId="77777777" w:rsidR="004634C9" w:rsidRDefault="004634C9">
      <w:pPr>
        <w:pStyle w:val="a3"/>
        <w:rPr>
          <w:b/>
          <w:i/>
          <w:sz w:val="42"/>
        </w:rPr>
      </w:pPr>
    </w:p>
    <w:p w14:paraId="424F2784" w14:textId="77777777" w:rsidR="004634C9" w:rsidRDefault="004634C9">
      <w:pPr>
        <w:pStyle w:val="a3"/>
        <w:rPr>
          <w:b/>
          <w:i/>
          <w:sz w:val="42"/>
        </w:rPr>
      </w:pPr>
    </w:p>
    <w:p w14:paraId="71ABD5DB" w14:textId="77777777" w:rsidR="004634C9" w:rsidRDefault="004634C9">
      <w:pPr>
        <w:pStyle w:val="a3"/>
        <w:rPr>
          <w:b/>
          <w:i/>
          <w:sz w:val="42"/>
        </w:rPr>
      </w:pPr>
    </w:p>
    <w:p w14:paraId="683829C4" w14:textId="77777777" w:rsidR="004634C9" w:rsidRDefault="004634C9">
      <w:pPr>
        <w:pStyle w:val="a3"/>
        <w:rPr>
          <w:b/>
          <w:i/>
          <w:sz w:val="42"/>
        </w:rPr>
      </w:pPr>
    </w:p>
    <w:p w14:paraId="4DA7441B" w14:textId="77777777" w:rsidR="004634C9" w:rsidRDefault="004634C9">
      <w:pPr>
        <w:pStyle w:val="a3"/>
        <w:spacing w:before="8"/>
        <w:rPr>
          <w:b/>
          <w:i/>
          <w:sz w:val="21"/>
        </w:rPr>
      </w:pPr>
    </w:p>
    <w:p w14:paraId="2A9342A7" w14:textId="77777777" w:rsidR="006845C7" w:rsidRDefault="006845C7">
      <w:pPr>
        <w:ind w:left="1083"/>
        <w:rPr>
          <w:color w:val="7E7E7E"/>
          <w:sz w:val="28"/>
          <w:lang w:eastAsia="zh-CN"/>
        </w:rPr>
      </w:pPr>
    </w:p>
    <w:p w14:paraId="24EC9BF9" w14:textId="6EAE2A22" w:rsidR="004634C9" w:rsidRDefault="00000000">
      <w:pPr>
        <w:ind w:left="1083"/>
        <w:rPr>
          <w:sz w:val="28"/>
        </w:rPr>
      </w:pPr>
      <w:r>
        <w:rPr>
          <w:color w:val="7E7E7E"/>
          <w:sz w:val="28"/>
        </w:rPr>
        <w:t>资料来源：上交所，深交所，北交所，万联证券研究所</w:t>
      </w:r>
    </w:p>
    <w:p w14:paraId="242862F8" w14:textId="77777777" w:rsidR="004634C9" w:rsidRDefault="004634C9">
      <w:pPr>
        <w:rPr>
          <w:sz w:val="28"/>
        </w:rPr>
        <w:sectPr w:rsidR="004634C9">
          <w:pgSz w:w="19200" w:h="10800" w:orient="landscape"/>
          <w:pgMar w:top="1200" w:right="0" w:bottom="280" w:left="0" w:header="523" w:footer="0" w:gutter="0"/>
          <w:cols w:space="720"/>
        </w:sectPr>
      </w:pPr>
    </w:p>
    <w:p w14:paraId="3C6990D2" w14:textId="77777777" w:rsidR="004634C9" w:rsidRDefault="00000000">
      <w:pPr>
        <w:pStyle w:val="a3"/>
        <w:spacing w:before="11"/>
        <w:rPr>
          <w:sz w:val="11"/>
        </w:rPr>
      </w:pPr>
      <w:r>
        <w:rPr>
          <w:noProof/>
        </w:rPr>
        <w:lastRenderedPageBreak/>
        <w:drawing>
          <wp:anchor distT="0" distB="0" distL="0" distR="0" simplePos="0" relativeHeight="251701248" behindDoc="0" locked="0" layoutInCell="1" allowOverlap="1" wp14:anchorId="47BC2F74" wp14:editId="19754325">
            <wp:simplePos x="0" y="0"/>
            <wp:positionH relativeFrom="page">
              <wp:posOffset>9552431</wp:posOffset>
            </wp:positionH>
            <wp:positionV relativeFrom="page">
              <wp:posOffset>332231</wp:posOffset>
            </wp:positionV>
            <wp:extent cx="2231135" cy="438911"/>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429D994A">
          <v:group id="_x0000_s2213" style="position:absolute;margin-left:31.2pt;margin-top:26.15pt;width:52.95pt;height:28.45pt;z-index:251702272;mso-position-horizontal-relative:page;mso-position-vertical-relative:page" coordorigin="624,523" coordsize="1059,569">
            <v:shape id="_x0000_s2215" style="position:absolute;left:624;top:535;width:586;height:557" coordorigin="624,535" coordsize="586,557" path="m931,535r-307,l902,814,624,1092r307,l1210,814,931,535xe" fillcolor="#be1b1b" stroked="f">
              <v:path arrowok="t"/>
            </v:shape>
            <v:shape id="_x0000_s2214" style="position:absolute;left:1096;top:523;width:586;height:557" coordorigin="1097,523" coordsize="586,557" path="m1404,523r-307,l1375,802r-278,278l1404,1080,1682,802,1404,523xe" fillcolor="#d9d9d9" stroked="f">
              <v:path arrowok="t"/>
            </v:shape>
            <w10:wrap anchorx="page" anchory="page"/>
          </v:group>
        </w:pict>
      </w:r>
      <w:r>
        <w:pict w14:anchorId="330E8439">
          <v:shape id="_x0000_s2212" style="position:absolute;margin-left:91.1pt;margin-top:33.9pt;width:26.1pt;height:14.65pt;z-index:251703296;mso-position-horizontal-relative:page;mso-position-vertical-relative:page" coordorigin="1822,678" coordsize="522,293" o:spt="100" adj="0,,0" path="m1875,884r-53,6l1825,907r6,16l1840,937r12,12l1865,959r16,7l1898,970r18,1l1936,970r18,-6l1970,956r15,-12l1997,930r3,-4l1905,926r-9,-4l1881,908r-4,-11l1875,884xm1995,833r-67,l1938,837r7,8l1952,853r4,11l1956,892r-4,12l1937,921r-10,5l2000,926r6,-11l2011,898r1,-18l2011,868r-2,-12l2004,845r-6,-9l1995,833xm1993,723r-71,l1930,726r11,12l1944,745r,21l1940,776r-15,13l1913,792r-14,l1892,837r10,-3l1911,833r84,l1990,827r-10,-6l1970,815r-12,-3l1976,800r7,-8l1913,792r-14,l1983,792r6,-6l1997,770r3,-18l1998,739r-3,-12l1994,726r-1,-3xm1914,678r-11,1l1892,680r-11,3l1872,687r-13,6l1849,701r-7,11l1837,720r-4,10l1829,741r-3,12l1877,762r1,-13l1882,740r7,-7l1895,727r8,-4l1993,723r-5,-8l1979,704r-13,-11l1951,685r-17,-5l1914,678xm2114,911r-55,l2059,966r55,l2114,911xm2335,724r-73,l2271,727r14,13l2288,750r,23l2284,784r-7,12l2271,803r-10,10l2248,827r-17,16l2210,863r-18,18l2179,897r-10,14l2162,925r-5,13l2153,952r-3,14l2343,966r,-51l2234,915r3,-5l2241,905r4,-5l2250,895r7,-7l2266,879r12,-11l2290,857r10,-10l2308,839r6,-7l2321,822r6,-9l2332,804r4,-9l2341,783r2,-12l2343,758r-1,-16l2337,727r-2,-3xm2252,678r-18,1l2217,683r-16,6l2188,698r-12,11l2167,724r-6,18l2157,763r55,6l2213,753r4,-12l2223,734r7,-7l2239,724r96,l2329,713r-10,-12l2306,691r-16,-7l2272,680r-20,-2xe" fillcolor="#0d0d0d" stroked="f">
            <v:stroke joinstyle="round"/>
            <v:formulas/>
            <v:path arrowok="t" o:connecttype="segments"/>
            <w10:wrap anchorx="page" anchory="page"/>
          </v:shape>
        </w:pict>
      </w:r>
      <w:r>
        <w:rPr>
          <w:noProof/>
        </w:rPr>
        <w:drawing>
          <wp:anchor distT="0" distB="0" distL="0" distR="0" simplePos="0" relativeHeight="251704320" behindDoc="0" locked="0" layoutInCell="1" allowOverlap="1" wp14:anchorId="4EF35E77" wp14:editId="697BDA50">
            <wp:simplePos x="0" y="0"/>
            <wp:positionH relativeFrom="page">
              <wp:posOffset>1572641</wp:posOffset>
            </wp:positionH>
            <wp:positionV relativeFrom="page">
              <wp:posOffset>400177</wp:posOffset>
            </wp:positionV>
            <wp:extent cx="5574538" cy="248793"/>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33" cstate="print"/>
                    <a:stretch>
                      <a:fillRect/>
                    </a:stretch>
                  </pic:blipFill>
                  <pic:spPr>
                    <a:xfrm>
                      <a:off x="0" y="0"/>
                      <a:ext cx="5574538" cy="248793"/>
                    </a:xfrm>
                    <a:prstGeom prst="rect">
                      <a:avLst/>
                    </a:prstGeom>
                  </pic:spPr>
                </pic:pic>
              </a:graphicData>
            </a:graphic>
          </wp:anchor>
        </w:drawing>
      </w:r>
    </w:p>
    <w:p w14:paraId="38E5A221" w14:textId="77777777" w:rsidR="004634C9" w:rsidRDefault="00000000">
      <w:pPr>
        <w:pStyle w:val="a4"/>
        <w:numPr>
          <w:ilvl w:val="0"/>
          <w:numId w:val="7"/>
        </w:numPr>
        <w:tabs>
          <w:tab w:val="left" w:pos="1256"/>
        </w:tabs>
        <w:spacing w:before="16"/>
        <w:ind w:left="1255" w:hanging="317"/>
        <w:rPr>
          <w:sz w:val="32"/>
        </w:rPr>
      </w:pPr>
      <w:bookmarkStart w:id="17" w:name="幻灯片_18"/>
      <w:bookmarkEnd w:id="17"/>
      <w:r>
        <w:rPr>
          <w:sz w:val="32"/>
        </w:rPr>
        <w:t>沪深交易所新增破净破发和分红不达标等限制减持的情形，而北交所新增对破净破发和亏损情形的减持限制、不对分红做</w:t>
      </w:r>
    </w:p>
    <w:p w14:paraId="5C899DA9" w14:textId="77777777" w:rsidR="004634C9" w:rsidRDefault="00000000">
      <w:pPr>
        <w:pStyle w:val="a3"/>
        <w:spacing w:line="445" w:lineRule="exact"/>
        <w:ind w:left="1211"/>
      </w:pPr>
      <w:r>
        <w:t>硬性要求。</w:t>
      </w:r>
    </w:p>
    <w:p w14:paraId="267235C9" w14:textId="77777777" w:rsidR="004634C9" w:rsidRDefault="00000000">
      <w:pPr>
        <w:pStyle w:val="4"/>
        <w:spacing w:line="506" w:lineRule="exact"/>
        <w:ind w:right="5329"/>
        <w:jc w:val="center"/>
      </w:pPr>
      <w:r>
        <w:rPr>
          <w:color w:val="BE1B1B"/>
        </w:rPr>
        <w:t>沪深京交易所股份减持要素对比（续）</w:t>
      </w:r>
    </w:p>
    <w:tbl>
      <w:tblPr>
        <w:tblStyle w:val="TableNormal"/>
        <w:tblW w:w="0" w:type="auto"/>
        <w:tblInd w:w="958" w:type="dxa"/>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Look w:val="01E0" w:firstRow="1" w:lastRow="1" w:firstColumn="1" w:lastColumn="1" w:noHBand="0" w:noVBand="0"/>
      </w:tblPr>
      <w:tblGrid>
        <w:gridCol w:w="1476"/>
        <w:gridCol w:w="7992"/>
        <w:gridCol w:w="7836"/>
      </w:tblGrid>
      <w:tr w:rsidR="004634C9" w14:paraId="551FAD78" w14:textId="77777777">
        <w:trPr>
          <w:trHeight w:val="274"/>
        </w:trPr>
        <w:tc>
          <w:tcPr>
            <w:tcW w:w="1476" w:type="dxa"/>
            <w:tcBorders>
              <w:top w:val="nil"/>
              <w:left w:val="nil"/>
              <w:right w:val="single" w:sz="6" w:space="0" w:color="FFFFFF"/>
            </w:tcBorders>
            <w:shd w:val="clear" w:color="auto" w:fill="A40020"/>
          </w:tcPr>
          <w:p w14:paraId="06862E40" w14:textId="77777777" w:rsidR="004634C9" w:rsidRDefault="004634C9">
            <w:pPr>
              <w:pStyle w:val="TableParagraph"/>
              <w:rPr>
                <w:rFonts w:ascii="Times New Roman"/>
                <w:sz w:val="20"/>
              </w:rPr>
            </w:pPr>
          </w:p>
        </w:tc>
        <w:tc>
          <w:tcPr>
            <w:tcW w:w="7992" w:type="dxa"/>
            <w:tcBorders>
              <w:top w:val="nil"/>
              <w:left w:val="single" w:sz="6" w:space="0" w:color="FFFFFF"/>
              <w:right w:val="single" w:sz="6" w:space="0" w:color="FFFFFF"/>
            </w:tcBorders>
            <w:shd w:val="clear" w:color="auto" w:fill="A40020"/>
          </w:tcPr>
          <w:p w14:paraId="64A8F2A3" w14:textId="77777777" w:rsidR="004634C9" w:rsidRDefault="00000000">
            <w:pPr>
              <w:pStyle w:val="TableParagraph"/>
              <w:spacing w:line="254" w:lineRule="exact"/>
              <w:ind w:left="3643" w:right="3632"/>
              <w:jc w:val="center"/>
              <w:rPr>
                <w:rFonts w:ascii="Microsoft JhengHei" w:eastAsia="Microsoft JhengHei"/>
                <w:b/>
                <w:sz w:val="21"/>
              </w:rPr>
            </w:pPr>
            <w:r>
              <w:rPr>
                <w:rFonts w:ascii="Microsoft JhengHei" w:eastAsia="Microsoft JhengHei" w:hint="eastAsia"/>
                <w:b/>
                <w:color w:val="FFFFFF"/>
                <w:w w:val="105"/>
                <w:sz w:val="21"/>
              </w:rPr>
              <w:t>北交所</w:t>
            </w:r>
          </w:p>
        </w:tc>
        <w:tc>
          <w:tcPr>
            <w:tcW w:w="7836" w:type="dxa"/>
            <w:tcBorders>
              <w:top w:val="nil"/>
              <w:left w:val="single" w:sz="6" w:space="0" w:color="FFFFFF"/>
              <w:right w:val="single" w:sz="6" w:space="0" w:color="FFFFFF"/>
            </w:tcBorders>
            <w:shd w:val="clear" w:color="auto" w:fill="A40020"/>
          </w:tcPr>
          <w:p w14:paraId="4071498E" w14:textId="77777777" w:rsidR="004634C9" w:rsidRDefault="00000000">
            <w:pPr>
              <w:pStyle w:val="TableParagraph"/>
              <w:spacing w:line="254" w:lineRule="exact"/>
              <w:ind w:left="3339" w:right="3339"/>
              <w:jc w:val="center"/>
              <w:rPr>
                <w:rFonts w:ascii="Microsoft JhengHei" w:eastAsia="Microsoft JhengHei"/>
                <w:b/>
                <w:sz w:val="21"/>
              </w:rPr>
            </w:pPr>
            <w:r>
              <w:rPr>
                <w:rFonts w:ascii="Microsoft JhengHei" w:eastAsia="Microsoft JhengHei" w:hint="eastAsia"/>
                <w:b/>
                <w:color w:val="FFFFFF"/>
                <w:w w:val="105"/>
                <w:sz w:val="21"/>
              </w:rPr>
              <w:t>沪深交易所</w:t>
            </w:r>
          </w:p>
        </w:tc>
      </w:tr>
      <w:tr w:rsidR="004634C9" w14:paraId="06501D60" w14:textId="77777777">
        <w:trPr>
          <w:trHeight w:val="292"/>
        </w:trPr>
        <w:tc>
          <w:tcPr>
            <w:tcW w:w="1476" w:type="dxa"/>
            <w:tcBorders>
              <w:bottom w:val="nil"/>
            </w:tcBorders>
          </w:tcPr>
          <w:p w14:paraId="3B4EA91D" w14:textId="77777777" w:rsidR="004634C9" w:rsidRDefault="004634C9">
            <w:pPr>
              <w:pStyle w:val="TableParagraph"/>
              <w:rPr>
                <w:rFonts w:ascii="Times New Roman"/>
              </w:rPr>
            </w:pPr>
          </w:p>
        </w:tc>
        <w:tc>
          <w:tcPr>
            <w:tcW w:w="7992" w:type="dxa"/>
            <w:tcBorders>
              <w:bottom w:val="nil"/>
            </w:tcBorders>
          </w:tcPr>
          <w:p w14:paraId="53BA932D" w14:textId="77777777" w:rsidR="004634C9" w:rsidRDefault="004634C9">
            <w:pPr>
              <w:pStyle w:val="TableParagraph"/>
              <w:rPr>
                <w:rFonts w:ascii="Times New Roman"/>
              </w:rPr>
            </w:pPr>
          </w:p>
        </w:tc>
        <w:tc>
          <w:tcPr>
            <w:tcW w:w="7836" w:type="dxa"/>
            <w:tcBorders>
              <w:bottom w:val="nil"/>
            </w:tcBorders>
          </w:tcPr>
          <w:p w14:paraId="37AD16CA" w14:textId="77777777" w:rsidR="004634C9" w:rsidRDefault="00000000">
            <w:pPr>
              <w:pStyle w:val="TableParagraph"/>
              <w:spacing w:line="273" w:lineRule="exact"/>
              <w:ind w:left="41"/>
              <w:rPr>
                <w:sz w:val="21"/>
              </w:rPr>
            </w:pPr>
            <w:r>
              <w:rPr>
                <w:w w:val="105"/>
                <w:sz w:val="21"/>
              </w:rPr>
              <w:t>（一）上市公司</w:t>
            </w:r>
            <w:r>
              <w:rPr>
                <w:rFonts w:ascii="Microsoft JhengHei" w:eastAsia="Microsoft JhengHei" w:hint="eastAsia"/>
                <w:b/>
                <w:w w:val="105"/>
                <w:sz w:val="21"/>
              </w:rPr>
              <w:t>控股股东、实际控制人</w:t>
            </w:r>
            <w:r>
              <w:rPr>
                <w:w w:val="105"/>
                <w:sz w:val="21"/>
              </w:rPr>
              <w:t>不得披露减持计划：</w:t>
            </w:r>
          </w:p>
        </w:tc>
      </w:tr>
      <w:tr w:rsidR="004634C9" w14:paraId="2C5FC7F9" w14:textId="77777777">
        <w:trPr>
          <w:trHeight w:val="288"/>
        </w:trPr>
        <w:tc>
          <w:tcPr>
            <w:tcW w:w="1476" w:type="dxa"/>
            <w:tcBorders>
              <w:top w:val="nil"/>
              <w:bottom w:val="nil"/>
            </w:tcBorders>
          </w:tcPr>
          <w:p w14:paraId="4A83A51F" w14:textId="77777777" w:rsidR="004634C9" w:rsidRDefault="004634C9">
            <w:pPr>
              <w:pStyle w:val="TableParagraph"/>
              <w:rPr>
                <w:rFonts w:ascii="Times New Roman"/>
                <w:sz w:val="20"/>
              </w:rPr>
            </w:pPr>
          </w:p>
        </w:tc>
        <w:tc>
          <w:tcPr>
            <w:tcW w:w="7992" w:type="dxa"/>
            <w:tcBorders>
              <w:top w:val="nil"/>
              <w:bottom w:val="nil"/>
            </w:tcBorders>
          </w:tcPr>
          <w:p w14:paraId="37626769" w14:textId="77777777" w:rsidR="004634C9" w:rsidRDefault="00000000">
            <w:pPr>
              <w:pStyle w:val="TableParagraph"/>
              <w:spacing w:line="268" w:lineRule="exact"/>
              <w:ind w:left="40"/>
              <w:rPr>
                <w:sz w:val="21"/>
              </w:rPr>
            </w:pPr>
            <w:r>
              <w:rPr>
                <w:sz w:val="21"/>
              </w:rPr>
              <w:t>上市公司</w:t>
            </w:r>
            <w:r>
              <w:rPr>
                <w:rFonts w:ascii="Microsoft JhengHei" w:eastAsia="Microsoft JhengHei" w:hint="eastAsia"/>
                <w:b/>
                <w:sz w:val="21"/>
              </w:rPr>
              <w:t>控股股东、实际控制人</w:t>
            </w:r>
            <w:r>
              <w:rPr>
                <w:sz w:val="21"/>
              </w:rPr>
              <w:t>计划通过北交所集中竞价交易或大宗交易减持其所</w:t>
            </w:r>
          </w:p>
        </w:tc>
        <w:tc>
          <w:tcPr>
            <w:tcW w:w="7836" w:type="dxa"/>
            <w:tcBorders>
              <w:top w:val="nil"/>
              <w:bottom w:val="nil"/>
            </w:tcBorders>
          </w:tcPr>
          <w:p w14:paraId="5525F61E" w14:textId="77777777" w:rsidR="004634C9" w:rsidRDefault="00000000">
            <w:pPr>
              <w:pStyle w:val="TableParagraph"/>
              <w:spacing w:line="268" w:lineRule="exact"/>
              <w:ind w:left="41"/>
              <w:rPr>
                <w:rFonts w:ascii="Microsoft JhengHei" w:eastAsia="Microsoft JhengHei"/>
                <w:b/>
                <w:sz w:val="21"/>
              </w:rPr>
            </w:pPr>
            <w:r>
              <w:rPr>
                <w:sz w:val="21"/>
              </w:rPr>
              <w:t>（1）上市公司最近三个已披露经审计的年度报告的会计年度</w:t>
            </w:r>
            <w:r>
              <w:rPr>
                <w:rFonts w:ascii="Microsoft JhengHei" w:eastAsia="Microsoft JhengHei" w:hint="eastAsia"/>
                <w:b/>
                <w:color w:val="FF0000"/>
                <w:sz w:val="21"/>
              </w:rPr>
              <w:t>未实施现金分红或</w:t>
            </w:r>
          </w:p>
        </w:tc>
      </w:tr>
      <w:tr w:rsidR="004634C9" w14:paraId="3FA2E8D0" w14:textId="77777777">
        <w:trPr>
          <w:trHeight w:val="288"/>
        </w:trPr>
        <w:tc>
          <w:tcPr>
            <w:tcW w:w="1476" w:type="dxa"/>
            <w:tcBorders>
              <w:top w:val="nil"/>
              <w:bottom w:val="nil"/>
            </w:tcBorders>
          </w:tcPr>
          <w:p w14:paraId="71876496" w14:textId="77777777" w:rsidR="004634C9" w:rsidRDefault="004634C9">
            <w:pPr>
              <w:pStyle w:val="TableParagraph"/>
              <w:rPr>
                <w:rFonts w:ascii="Times New Roman"/>
                <w:sz w:val="20"/>
              </w:rPr>
            </w:pPr>
          </w:p>
        </w:tc>
        <w:tc>
          <w:tcPr>
            <w:tcW w:w="7992" w:type="dxa"/>
            <w:tcBorders>
              <w:top w:val="nil"/>
              <w:bottom w:val="nil"/>
            </w:tcBorders>
          </w:tcPr>
          <w:p w14:paraId="722AB31E" w14:textId="77777777" w:rsidR="004634C9" w:rsidRDefault="00000000">
            <w:pPr>
              <w:pStyle w:val="TableParagraph"/>
              <w:spacing w:before="9" w:line="258" w:lineRule="exact"/>
              <w:ind w:left="40"/>
              <w:rPr>
                <w:sz w:val="21"/>
              </w:rPr>
            </w:pPr>
            <w:r>
              <w:rPr>
                <w:w w:val="105"/>
                <w:sz w:val="21"/>
              </w:rPr>
              <w:t>持有的本公司股份的，在首次披露减持计划时，不得存在下列情形：</w:t>
            </w:r>
          </w:p>
        </w:tc>
        <w:tc>
          <w:tcPr>
            <w:tcW w:w="7836" w:type="dxa"/>
            <w:tcBorders>
              <w:top w:val="nil"/>
              <w:bottom w:val="nil"/>
            </w:tcBorders>
          </w:tcPr>
          <w:p w14:paraId="6B268400" w14:textId="77777777" w:rsidR="004634C9" w:rsidRDefault="00000000">
            <w:pPr>
              <w:pStyle w:val="TableParagraph"/>
              <w:spacing w:line="268" w:lineRule="exact"/>
              <w:ind w:left="41"/>
              <w:rPr>
                <w:sz w:val="21"/>
              </w:rPr>
            </w:pPr>
            <w:r>
              <w:rPr>
                <w:rFonts w:ascii="Microsoft JhengHei" w:eastAsia="Microsoft JhengHei" w:hint="eastAsia"/>
                <w:b/>
                <w:color w:val="FF0000"/>
                <w:sz w:val="21"/>
              </w:rPr>
              <w:t>者累计现金分红金额低于同期年均归属于上市公司股东净利润的30%</w:t>
            </w:r>
            <w:r>
              <w:rPr>
                <w:sz w:val="21"/>
              </w:rPr>
              <w:t>的，但归</w:t>
            </w:r>
          </w:p>
        </w:tc>
      </w:tr>
      <w:tr w:rsidR="004634C9" w14:paraId="38EB0944" w14:textId="77777777">
        <w:trPr>
          <w:trHeight w:val="288"/>
        </w:trPr>
        <w:tc>
          <w:tcPr>
            <w:tcW w:w="1476" w:type="dxa"/>
            <w:tcBorders>
              <w:top w:val="nil"/>
              <w:bottom w:val="nil"/>
            </w:tcBorders>
          </w:tcPr>
          <w:p w14:paraId="67CA544B" w14:textId="77777777" w:rsidR="004634C9" w:rsidRDefault="00000000">
            <w:pPr>
              <w:pStyle w:val="TableParagraph"/>
              <w:spacing w:before="9" w:line="258" w:lineRule="exact"/>
              <w:ind w:right="75"/>
              <w:jc w:val="right"/>
              <w:rPr>
                <w:sz w:val="21"/>
              </w:rPr>
            </w:pPr>
            <w:r>
              <w:rPr>
                <w:sz w:val="21"/>
              </w:rPr>
              <w:t>不得减持情形</w:t>
            </w:r>
          </w:p>
        </w:tc>
        <w:tc>
          <w:tcPr>
            <w:tcW w:w="7992" w:type="dxa"/>
            <w:tcBorders>
              <w:top w:val="nil"/>
              <w:bottom w:val="nil"/>
            </w:tcBorders>
          </w:tcPr>
          <w:p w14:paraId="5810AE31" w14:textId="77777777" w:rsidR="004634C9" w:rsidRDefault="00000000">
            <w:pPr>
              <w:pStyle w:val="TableParagraph"/>
              <w:spacing w:line="268" w:lineRule="exact"/>
              <w:ind w:left="40"/>
              <w:rPr>
                <w:rFonts w:ascii="Microsoft JhengHei" w:eastAsia="Microsoft JhengHei"/>
                <w:b/>
                <w:sz w:val="21"/>
              </w:rPr>
            </w:pPr>
            <w:r>
              <w:rPr>
                <w:sz w:val="21"/>
              </w:rPr>
              <w:t>（一）最近20个交易日内，上市公司任一交易日股票收盘价</w:t>
            </w:r>
            <w:r>
              <w:rPr>
                <w:rFonts w:ascii="Microsoft JhengHei" w:eastAsia="Microsoft JhengHei" w:hint="eastAsia"/>
                <w:b/>
                <w:color w:val="FF0000"/>
                <w:sz w:val="21"/>
              </w:rPr>
              <w:t>低于其公开发行股票并</w:t>
            </w:r>
          </w:p>
        </w:tc>
        <w:tc>
          <w:tcPr>
            <w:tcW w:w="7836" w:type="dxa"/>
            <w:tcBorders>
              <w:top w:val="nil"/>
              <w:bottom w:val="nil"/>
            </w:tcBorders>
          </w:tcPr>
          <w:p w14:paraId="12F76BB0" w14:textId="77777777" w:rsidR="004634C9" w:rsidRDefault="00000000">
            <w:pPr>
              <w:pStyle w:val="TableParagraph"/>
              <w:spacing w:before="9" w:line="258" w:lineRule="exact"/>
              <w:ind w:left="41"/>
              <w:rPr>
                <w:sz w:val="21"/>
              </w:rPr>
            </w:pPr>
            <w:r>
              <w:rPr>
                <w:w w:val="105"/>
                <w:sz w:val="21"/>
              </w:rPr>
              <w:t>属于上市公司股东净利润为负的会计年度不计算在内；</w:t>
            </w:r>
          </w:p>
        </w:tc>
      </w:tr>
      <w:tr w:rsidR="004634C9" w14:paraId="778D74C7" w14:textId="77777777">
        <w:trPr>
          <w:trHeight w:val="288"/>
        </w:trPr>
        <w:tc>
          <w:tcPr>
            <w:tcW w:w="1476" w:type="dxa"/>
            <w:tcBorders>
              <w:top w:val="nil"/>
              <w:bottom w:val="nil"/>
            </w:tcBorders>
          </w:tcPr>
          <w:p w14:paraId="2BCF56BD" w14:textId="77777777" w:rsidR="004634C9" w:rsidRDefault="00000000">
            <w:pPr>
              <w:pStyle w:val="TableParagraph"/>
              <w:spacing w:line="268" w:lineRule="exact"/>
              <w:ind w:right="100"/>
              <w:jc w:val="right"/>
              <w:rPr>
                <w:rFonts w:ascii="Microsoft JhengHei" w:eastAsia="Microsoft JhengHei"/>
                <w:b/>
                <w:sz w:val="21"/>
              </w:rPr>
            </w:pPr>
            <w:r>
              <w:rPr>
                <w:rFonts w:ascii="Microsoft JhengHei" w:eastAsia="Microsoft JhengHei" w:hint="eastAsia"/>
                <w:b/>
                <w:color w:val="FF0000"/>
                <w:w w:val="95"/>
                <w:sz w:val="21"/>
              </w:rPr>
              <w:t>（整合23年9</w:t>
            </w:r>
          </w:p>
        </w:tc>
        <w:tc>
          <w:tcPr>
            <w:tcW w:w="7992" w:type="dxa"/>
            <w:tcBorders>
              <w:top w:val="nil"/>
              <w:bottom w:val="nil"/>
            </w:tcBorders>
          </w:tcPr>
          <w:p w14:paraId="4C3F4CC1" w14:textId="77777777" w:rsidR="004634C9" w:rsidRDefault="00000000">
            <w:pPr>
              <w:pStyle w:val="TableParagraph"/>
              <w:spacing w:line="268" w:lineRule="exact"/>
              <w:ind w:left="40"/>
              <w:rPr>
                <w:sz w:val="21"/>
              </w:rPr>
            </w:pPr>
            <w:r>
              <w:rPr>
                <w:rFonts w:ascii="Microsoft JhengHei" w:eastAsia="Microsoft JhengHei" w:hint="eastAsia"/>
                <w:b/>
                <w:color w:val="FF0000"/>
                <w:w w:val="105"/>
                <w:sz w:val="21"/>
              </w:rPr>
              <w:t>上市的发行价格</w:t>
            </w:r>
            <w:r>
              <w:rPr>
                <w:w w:val="105"/>
                <w:sz w:val="21"/>
              </w:rPr>
              <w:t>；</w:t>
            </w:r>
          </w:p>
        </w:tc>
        <w:tc>
          <w:tcPr>
            <w:tcW w:w="7836" w:type="dxa"/>
            <w:tcBorders>
              <w:top w:val="nil"/>
              <w:bottom w:val="nil"/>
            </w:tcBorders>
          </w:tcPr>
          <w:p w14:paraId="33705584" w14:textId="77777777" w:rsidR="004634C9" w:rsidRDefault="00000000">
            <w:pPr>
              <w:pStyle w:val="TableParagraph"/>
              <w:spacing w:before="9" w:line="258" w:lineRule="exact"/>
              <w:ind w:left="41"/>
              <w:rPr>
                <w:sz w:val="21"/>
              </w:rPr>
            </w:pPr>
            <w:r>
              <w:rPr>
                <w:sz w:val="21"/>
              </w:rPr>
              <w:t>（2）该控股股东、实际控制人拟披露减持计划前20个交易日中任一日的股票收盘</w:t>
            </w:r>
          </w:p>
        </w:tc>
      </w:tr>
      <w:tr w:rsidR="004634C9" w14:paraId="0824DB52" w14:textId="77777777">
        <w:trPr>
          <w:trHeight w:val="288"/>
        </w:trPr>
        <w:tc>
          <w:tcPr>
            <w:tcW w:w="1476" w:type="dxa"/>
            <w:tcBorders>
              <w:top w:val="nil"/>
              <w:bottom w:val="nil"/>
            </w:tcBorders>
          </w:tcPr>
          <w:p w14:paraId="08C5EF9B" w14:textId="77777777" w:rsidR="004634C9" w:rsidRDefault="00000000">
            <w:pPr>
              <w:pStyle w:val="TableParagraph"/>
              <w:spacing w:line="268" w:lineRule="exact"/>
              <w:ind w:right="52"/>
              <w:jc w:val="right"/>
              <w:rPr>
                <w:rFonts w:ascii="Microsoft JhengHei" w:eastAsia="Microsoft JhengHei"/>
                <w:b/>
                <w:sz w:val="21"/>
              </w:rPr>
            </w:pPr>
            <w:r>
              <w:rPr>
                <w:rFonts w:ascii="Microsoft JhengHei" w:eastAsia="Microsoft JhengHei" w:hint="eastAsia"/>
                <w:b/>
                <w:color w:val="FF0000"/>
                <w:w w:val="95"/>
                <w:sz w:val="21"/>
              </w:rPr>
              <w:t>月26日业务通</w:t>
            </w:r>
          </w:p>
        </w:tc>
        <w:tc>
          <w:tcPr>
            <w:tcW w:w="7992" w:type="dxa"/>
            <w:tcBorders>
              <w:top w:val="nil"/>
              <w:bottom w:val="nil"/>
            </w:tcBorders>
          </w:tcPr>
          <w:p w14:paraId="2C85C3C8" w14:textId="77777777" w:rsidR="004634C9" w:rsidRDefault="00000000">
            <w:pPr>
              <w:pStyle w:val="TableParagraph"/>
              <w:spacing w:before="9" w:line="258" w:lineRule="exact"/>
              <w:ind w:left="40"/>
              <w:rPr>
                <w:sz w:val="21"/>
              </w:rPr>
            </w:pPr>
            <w:r>
              <w:rPr>
                <w:sz w:val="21"/>
              </w:rPr>
              <w:t>（二）最近20个交易日内，上市公司任一交易日股票收盘价低于最近一个会计年度</w:t>
            </w:r>
          </w:p>
        </w:tc>
        <w:tc>
          <w:tcPr>
            <w:tcW w:w="7836" w:type="dxa"/>
            <w:tcBorders>
              <w:top w:val="nil"/>
              <w:bottom w:val="nil"/>
            </w:tcBorders>
          </w:tcPr>
          <w:p w14:paraId="22B4AB85" w14:textId="77777777" w:rsidR="004634C9" w:rsidRDefault="00000000">
            <w:pPr>
              <w:pStyle w:val="TableParagraph"/>
              <w:spacing w:line="268" w:lineRule="exact"/>
              <w:ind w:left="41"/>
              <w:rPr>
                <w:rFonts w:ascii="Microsoft JhengHei" w:eastAsia="Microsoft JhengHei"/>
                <w:b/>
                <w:sz w:val="21"/>
              </w:rPr>
            </w:pPr>
            <w:r>
              <w:rPr>
                <w:sz w:val="21"/>
              </w:rPr>
              <w:t>价（向后复权）低于最近一个会计年度或者最近一期财务报告期末</w:t>
            </w:r>
            <w:r>
              <w:rPr>
                <w:rFonts w:ascii="Microsoft JhengHei" w:eastAsia="Microsoft JhengHei" w:hint="eastAsia"/>
                <w:b/>
                <w:color w:val="FF0000"/>
                <w:sz w:val="21"/>
              </w:rPr>
              <w:t>每股归属于上</w:t>
            </w:r>
          </w:p>
        </w:tc>
      </w:tr>
      <w:tr w:rsidR="004634C9" w14:paraId="4131320E" w14:textId="77777777">
        <w:trPr>
          <w:trHeight w:val="288"/>
        </w:trPr>
        <w:tc>
          <w:tcPr>
            <w:tcW w:w="1476" w:type="dxa"/>
            <w:tcBorders>
              <w:top w:val="nil"/>
              <w:bottom w:val="nil"/>
            </w:tcBorders>
          </w:tcPr>
          <w:p w14:paraId="08FE8FA4" w14:textId="77777777" w:rsidR="004634C9" w:rsidRDefault="00000000">
            <w:pPr>
              <w:pStyle w:val="TableParagraph"/>
              <w:spacing w:line="268" w:lineRule="exact"/>
              <w:ind w:left="495" w:right="484"/>
              <w:jc w:val="center"/>
              <w:rPr>
                <w:rFonts w:ascii="Microsoft JhengHei" w:eastAsia="Microsoft JhengHei"/>
                <w:b/>
                <w:sz w:val="21"/>
              </w:rPr>
            </w:pPr>
            <w:r>
              <w:rPr>
                <w:rFonts w:ascii="Microsoft JhengHei" w:eastAsia="Microsoft JhengHei" w:hint="eastAsia"/>
                <w:b/>
                <w:color w:val="FF0000"/>
                <w:w w:val="105"/>
                <w:sz w:val="21"/>
              </w:rPr>
              <w:t>知）</w:t>
            </w:r>
          </w:p>
        </w:tc>
        <w:tc>
          <w:tcPr>
            <w:tcW w:w="7992" w:type="dxa"/>
            <w:tcBorders>
              <w:top w:val="nil"/>
              <w:bottom w:val="nil"/>
            </w:tcBorders>
          </w:tcPr>
          <w:p w14:paraId="28D9388F" w14:textId="77777777" w:rsidR="004634C9" w:rsidRDefault="00000000">
            <w:pPr>
              <w:pStyle w:val="TableParagraph"/>
              <w:spacing w:line="268" w:lineRule="exact"/>
              <w:ind w:left="40"/>
              <w:rPr>
                <w:sz w:val="21"/>
              </w:rPr>
            </w:pPr>
            <w:r>
              <w:rPr>
                <w:w w:val="105"/>
                <w:sz w:val="21"/>
              </w:rPr>
              <w:t>或最近一期财务会计报告期末</w:t>
            </w:r>
            <w:r>
              <w:rPr>
                <w:rFonts w:ascii="Microsoft JhengHei" w:eastAsia="Microsoft JhengHei" w:hint="eastAsia"/>
                <w:b/>
                <w:color w:val="FF0000"/>
                <w:w w:val="105"/>
                <w:sz w:val="21"/>
              </w:rPr>
              <w:t>每股归属于上市公司股东的净资产</w:t>
            </w:r>
            <w:r>
              <w:rPr>
                <w:w w:val="105"/>
                <w:sz w:val="21"/>
              </w:rPr>
              <w:t>；</w:t>
            </w:r>
          </w:p>
        </w:tc>
        <w:tc>
          <w:tcPr>
            <w:tcW w:w="7836" w:type="dxa"/>
            <w:tcBorders>
              <w:top w:val="nil"/>
              <w:bottom w:val="nil"/>
            </w:tcBorders>
          </w:tcPr>
          <w:p w14:paraId="305B7F58" w14:textId="77777777" w:rsidR="004634C9" w:rsidRDefault="00000000">
            <w:pPr>
              <w:pStyle w:val="TableParagraph"/>
              <w:spacing w:line="268" w:lineRule="exact"/>
              <w:ind w:left="41"/>
              <w:rPr>
                <w:sz w:val="21"/>
              </w:rPr>
            </w:pPr>
            <w:r>
              <w:rPr>
                <w:rFonts w:ascii="Microsoft JhengHei" w:eastAsia="Microsoft JhengHei" w:hint="eastAsia"/>
                <w:b/>
                <w:color w:val="FF0000"/>
                <w:w w:val="105"/>
                <w:sz w:val="21"/>
              </w:rPr>
              <w:t>市公司股东的净资产</w:t>
            </w:r>
            <w:r>
              <w:rPr>
                <w:w w:val="105"/>
                <w:sz w:val="21"/>
              </w:rPr>
              <w:t>的。</w:t>
            </w:r>
          </w:p>
        </w:tc>
      </w:tr>
      <w:tr w:rsidR="004634C9" w14:paraId="5BDC10AC" w14:textId="77777777">
        <w:trPr>
          <w:trHeight w:val="288"/>
        </w:trPr>
        <w:tc>
          <w:tcPr>
            <w:tcW w:w="1476" w:type="dxa"/>
            <w:tcBorders>
              <w:top w:val="nil"/>
              <w:bottom w:val="nil"/>
            </w:tcBorders>
          </w:tcPr>
          <w:p w14:paraId="175A09D2" w14:textId="77777777" w:rsidR="004634C9" w:rsidRDefault="004634C9">
            <w:pPr>
              <w:pStyle w:val="TableParagraph"/>
              <w:rPr>
                <w:rFonts w:ascii="Times New Roman"/>
                <w:sz w:val="20"/>
              </w:rPr>
            </w:pPr>
          </w:p>
        </w:tc>
        <w:tc>
          <w:tcPr>
            <w:tcW w:w="7992" w:type="dxa"/>
            <w:tcBorders>
              <w:top w:val="nil"/>
              <w:bottom w:val="nil"/>
            </w:tcBorders>
          </w:tcPr>
          <w:p w14:paraId="743782BF" w14:textId="77777777" w:rsidR="004634C9" w:rsidRDefault="00000000">
            <w:pPr>
              <w:pStyle w:val="TableParagraph"/>
              <w:spacing w:line="268" w:lineRule="exact"/>
              <w:ind w:left="40"/>
              <w:rPr>
                <w:rFonts w:ascii="Microsoft JhengHei" w:eastAsia="Microsoft JhengHei"/>
                <w:b/>
                <w:sz w:val="21"/>
              </w:rPr>
            </w:pPr>
            <w:r>
              <w:rPr>
                <w:sz w:val="21"/>
              </w:rPr>
              <w:t>（三）上市公司最近一期经审计的财务报告的</w:t>
            </w:r>
            <w:r>
              <w:rPr>
                <w:rFonts w:ascii="Microsoft JhengHei" w:eastAsia="Microsoft JhengHei" w:hint="eastAsia"/>
                <w:b/>
                <w:color w:val="FF0000"/>
                <w:sz w:val="21"/>
              </w:rPr>
              <w:t>归属于上市公司股东的净利润为负</w:t>
            </w:r>
          </w:p>
        </w:tc>
        <w:tc>
          <w:tcPr>
            <w:tcW w:w="7836" w:type="dxa"/>
            <w:tcBorders>
              <w:top w:val="nil"/>
              <w:bottom w:val="nil"/>
            </w:tcBorders>
          </w:tcPr>
          <w:p w14:paraId="109FC1D7" w14:textId="77777777" w:rsidR="004634C9" w:rsidRDefault="00000000">
            <w:pPr>
              <w:pStyle w:val="TableParagraph"/>
              <w:spacing w:line="268" w:lineRule="exact"/>
              <w:ind w:left="41"/>
              <w:rPr>
                <w:sz w:val="21"/>
              </w:rPr>
            </w:pPr>
            <w:r>
              <w:rPr>
                <w:sz w:val="21"/>
              </w:rPr>
              <w:t>（二）上市公司</w:t>
            </w:r>
            <w:r>
              <w:rPr>
                <w:rFonts w:ascii="Microsoft JhengHei" w:eastAsia="Microsoft JhengHei" w:hint="eastAsia"/>
                <w:b/>
                <w:sz w:val="21"/>
              </w:rPr>
              <w:t>首次公开发行时的控股股东、实际控制人及其一致行动人</w:t>
            </w:r>
            <w:r>
              <w:rPr>
                <w:sz w:val="21"/>
              </w:rPr>
              <w:t>不得</w:t>
            </w:r>
          </w:p>
        </w:tc>
      </w:tr>
      <w:tr w:rsidR="004634C9" w14:paraId="47661F32" w14:textId="77777777">
        <w:trPr>
          <w:trHeight w:val="288"/>
        </w:trPr>
        <w:tc>
          <w:tcPr>
            <w:tcW w:w="1476" w:type="dxa"/>
            <w:tcBorders>
              <w:top w:val="nil"/>
              <w:bottom w:val="nil"/>
            </w:tcBorders>
          </w:tcPr>
          <w:p w14:paraId="24787FD6" w14:textId="77777777" w:rsidR="004634C9" w:rsidRDefault="004634C9">
            <w:pPr>
              <w:pStyle w:val="TableParagraph"/>
              <w:rPr>
                <w:rFonts w:ascii="Times New Roman"/>
                <w:sz w:val="20"/>
              </w:rPr>
            </w:pPr>
          </w:p>
        </w:tc>
        <w:tc>
          <w:tcPr>
            <w:tcW w:w="7992" w:type="dxa"/>
            <w:tcBorders>
              <w:top w:val="nil"/>
              <w:bottom w:val="nil"/>
            </w:tcBorders>
          </w:tcPr>
          <w:p w14:paraId="3DCCF70E" w14:textId="77777777" w:rsidR="004634C9" w:rsidRDefault="00000000">
            <w:pPr>
              <w:pStyle w:val="TableParagraph"/>
              <w:spacing w:before="9" w:line="258" w:lineRule="exact"/>
              <w:ind w:left="40"/>
              <w:rPr>
                <w:sz w:val="21"/>
              </w:rPr>
            </w:pPr>
            <w:r>
              <w:rPr>
                <w:w w:val="103"/>
                <w:sz w:val="21"/>
              </w:rPr>
              <w:t>。</w:t>
            </w:r>
          </w:p>
        </w:tc>
        <w:tc>
          <w:tcPr>
            <w:tcW w:w="7836" w:type="dxa"/>
            <w:tcBorders>
              <w:top w:val="nil"/>
              <w:bottom w:val="nil"/>
            </w:tcBorders>
          </w:tcPr>
          <w:p w14:paraId="7B2EA468" w14:textId="77777777" w:rsidR="004634C9" w:rsidRDefault="00000000">
            <w:pPr>
              <w:pStyle w:val="TableParagraph"/>
              <w:spacing w:before="9" w:line="258" w:lineRule="exact"/>
              <w:ind w:left="41"/>
              <w:rPr>
                <w:sz w:val="21"/>
              </w:rPr>
            </w:pPr>
            <w:r>
              <w:rPr>
                <w:sz w:val="21"/>
              </w:rPr>
              <w:t>披露减持计划：在拟披露减持计划前20个交易日中任一日的股票收盘价（向后复</w:t>
            </w:r>
          </w:p>
        </w:tc>
      </w:tr>
      <w:tr w:rsidR="004634C9" w14:paraId="2BF42480" w14:textId="77777777">
        <w:trPr>
          <w:trHeight w:val="268"/>
        </w:trPr>
        <w:tc>
          <w:tcPr>
            <w:tcW w:w="1476" w:type="dxa"/>
            <w:tcBorders>
              <w:top w:val="nil"/>
            </w:tcBorders>
          </w:tcPr>
          <w:p w14:paraId="33C78CEB" w14:textId="77777777" w:rsidR="004634C9" w:rsidRDefault="004634C9">
            <w:pPr>
              <w:pStyle w:val="TableParagraph"/>
              <w:rPr>
                <w:rFonts w:ascii="Times New Roman"/>
                <w:sz w:val="18"/>
              </w:rPr>
            </w:pPr>
          </w:p>
        </w:tc>
        <w:tc>
          <w:tcPr>
            <w:tcW w:w="7992" w:type="dxa"/>
            <w:tcBorders>
              <w:top w:val="nil"/>
            </w:tcBorders>
          </w:tcPr>
          <w:p w14:paraId="0975DF5A" w14:textId="77777777" w:rsidR="004634C9" w:rsidRDefault="004634C9">
            <w:pPr>
              <w:pStyle w:val="TableParagraph"/>
              <w:rPr>
                <w:rFonts w:ascii="Times New Roman"/>
                <w:sz w:val="18"/>
              </w:rPr>
            </w:pPr>
          </w:p>
        </w:tc>
        <w:tc>
          <w:tcPr>
            <w:tcW w:w="7836" w:type="dxa"/>
            <w:tcBorders>
              <w:top w:val="nil"/>
            </w:tcBorders>
          </w:tcPr>
          <w:p w14:paraId="0A063A38" w14:textId="77777777" w:rsidR="004634C9" w:rsidRDefault="00000000">
            <w:pPr>
              <w:pStyle w:val="TableParagraph"/>
              <w:spacing w:line="248" w:lineRule="exact"/>
              <w:ind w:left="41"/>
              <w:rPr>
                <w:rFonts w:ascii="Microsoft JhengHei" w:eastAsia="Microsoft JhengHei"/>
                <w:b/>
                <w:sz w:val="21"/>
              </w:rPr>
            </w:pPr>
            <w:r>
              <w:rPr>
                <w:w w:val="105"/>
                <w:sz w:val="21"/>
              </w:rPr>
              <w:t>权）</w:t>
            </w:r>
            <w:r>
              <w:rPr>
                <w:rFonts w:ascii="Microsoft JhengHei" w:eastAsia="Microsoft JhengHei" w:hint="eastAsia"/>
                <w:b/>
                <w:color w:val="FF0000"/>
                <w:w w:val="105"/>
                <w:sz w:val="21"/>
              </w:rPr>
              <w:t>低于首次公开发行时的股票发行价格。</w:t>
            </w:r>
          </w:p>
        </w:tc>
      </w:tr>
      <w:tr w:rsidR="004634C9" w14:paraId="3C2235F2" w14:textId="77777777">
        <w:trPr>
          <w:trHeight w:val="292"/>
        </w:trPr>
        <w:tc>
          <w:tcPr>
            <w:tcW w:w="1476" w:type="dxa"/>
            <w:tcBorders>
              <w:bottom w:val="nil"/>
            </w:tcBorders>
          </w:tcPr>
          <w:p w14:paraId="50291824" w14:textId="77777777" w:rsidR="004634C9" w:rsidRDefault="004634C9">
            <w:pPr>
              <w:pStyle w:val="TableParagraph"/>
              <w:rPr>
                <w:rFonts w:ascii="Times New Roman"/>
              </w:rPr>
            </w:pPr>
          </w:p>
        </w:tc>
        <w:tc>
          <w:tcPr>
            <w:tcW w:w="7992" w:type="dxa"/>
            <w:tcBorders>
              <w:bottom w:val="nil"/>
            </w:tcBorders>
          </w:tcPr>
          <w:p w14:paraId="53900E85" w14:textId="77777777" w:rsidR="004634C9" w:rsidRDefault="004634C9">
            <w:pPr>
              <w:pStyle w:val="TableParagraph"/>
              <w:rPr>
                <w:rFonts w:ascii="Times New Roman"/>
              </w:rPr>
            </w:pPr>
          </w:p>
        </w:tc>
        <w:tc>
          <w:tcPr>
            <w:tcW w:w="7836" w:type="dxa"/>
            <w:tcBorders>
              <w:bottom w:val="nil"/>
            </w:tcBorders>
          </w:tcPr>
          <w:p w14:paraId="5889DE4E" w14:textId="77777777" w:rsidR="004634C9" w:rsidRDefault="00000000">
            <w:pPr>
              <w:pStyle w:val="TableParagraph"/>
              <w:spacing w:line="273" w:lineRule="exact"/>
              <w:ind w:left="41"/>
              <w:rPr>
                <w:rFonts w:ascii="Microsoft JhengHei" w:eastAsia="Microsoft JhengHei"/>
                <w:b/>
                <w:sz w:val="21"/>
              </w:rPr>
            </w:pPr>
            <w:r>
              <w:rPr>
                <w:rFonts w:ascii="Microsoft JhengHei" w:eastAsia="Microsoft JhengHei" w:hint="eastAsia"/>
                <w:b/>
                <w:sz w:val="21"/>
              </w:rPr>
              <w:t>（一）</w:t>
            </w:r>
            <w:r>
              <w:rPr>
                <w:sz w:val="21"/>
              </w:rPr>
              <w:t>具有下列情形之一的，上市公司</w:t>
            </w:r>
            <w:r>
              <w:rPr>
                <w:rFonts w:ascii="Microsoft JhengHei" w:eastAsia="Microsoft JhengHei" w:hint="eastAsia"/>
                <w:b/>
                <w:sz w:val="21"/>
              </w:rPr>
              <w:t>大股东、控股股东、实际控制人、董监</w:t>
            </w:r>
          </w:p>
        </w:tc>
      </w:tr>
      <w:tr w:rsidR="004634C9" w14:paraId="4C2085D9" w14:textId="77777777">
        <w:trPr>
          <w:trHeight w:val="288"/>
        </w:trPr>
        <w:tc>
          <w:tcPr>
            <w:tcW w:w="1476" w:type="dxa"/>
            <w:tcBorders>
              <w:top w:val="nil"/>
              <w:bottom w:val="nil"/>
            </w:tcBorders>
          </w:tcPr>
          <w:p w14:paraId="077C5611" w14:textId="77777777" w:rsidR="004634C9" w:rsidRDefault="004634C9">
            <w:pPr>
              <w:pStyle w:val="TableParagraph"/>
              <w:rPr>
                <w:rFonts w:ascii="Times New Roman"/>
                <w:sz w:val="20"/>
              </w:rPr>
            </w:pPr>
          </w:p>
        </w:tc>
        <w:tc>
          <w:tcPr>
            <w:tcW w:w="7992" w:type="dxa"/>
            <w:tcBorders>
              <w:top w:val="nil"/>
              <w:bottom w:val="nil"/>
            </w:tcBorders>
          </w:tcPr>
          <w:p w14:paraId="47FE72C9" w14:textId="77777777" w:rsidR="004634C9" w:rsidRDefault="004634C9">
            <w:pPr>
              <w:pStyle w:val="TableParagraph"/>
              <w:rPr>
                <w:rFonts w:ascii="Times New Roman"/>
                <w:sz w:val="20"/>
              </w:rPr>
            </w:pPr>
          </w:p>
        </w:tc>
        <w:tc>
          <w:tcPr>
            <w:tcW w:w="7836" w:type="dxa"/>
            <w:tcBorders>
              <w:top w:val="nil"/>
              <w:bottom w:val="nil"/>
            </w:tcBorders>
          </w:tcPr>
          <w:p w14:paraId="07867419" w14:textId="77777777" w:rsidR="004634C9" w:rsidRDefault="00000000">
            <w:pPr>
              <w:pStyle w:val="TableParagraph"/>
              <w:spacing w:line="268" w:lineRule="exact"/>
              <w:ind w:left="41"/>
              <w:rPr>
                <w:sz w:val="21"/>
              </w:rPr>
            </w:pPr>
            <w:r>
              <w:rPr>
                <w:rFonts w:ascii="Microsoft JhengHei" w:eastAsia="Microsoft JhengHei" w:hint="eastAsia"/>
                <w:b/>
                <w:w w:val="105"/>
                <w:sz w:val="21"/>
              </w:rPr>
              <w:t>高及其一致行动人</w:t>
            </w:r>
            <w:r>
              <w:rPr>
                <w:w w:val="105"/>
                <w:sz w:val="21"/>
              </w:rPr>
              <w:t>不得减持股份：</w:t>
            </w:r>
          </w:p>
        </w:tc>
      </w:tr>
      <w:tr w:rsidR="004634C9" w14:paraId="47A72D32" w14:textId="77777777">
        <w:trPr>
          <w:trHeight w:val="2592"/>
        </w:trPr>
        <w:tc>
          <w:tcPr>
            <w:tcW w:w="1476" w:type="dxa"/>
            <w:tcBorders>
              <w:top w:val="nil"/>
              <w:bottom w:val="nil"/>
            </w:tcBorders>
          </w:tcPr>
          <w:p w14:paraId="16BBBA77" w14:textId="77777777" w:rsidR="004634C9" w:rsidRDefault="004634C9">
            <w:pPr>
              <w:pStyle w:val="TableParagraph"/>
              <w:rPr>
                <w:rFonts w:ascii="微软雅黑"/>
                <w:b/>
                <w:i/>
              </w:rPr>
            </w:pPr>
          </w:p>
          <w:p w14:paraId="3AED1889" w14:textId="77777777" w:rsidR="004634C9" w:rsidRDefault="004634C9">
            <w:pPr>
              <w:pStyle w:val="TableParagraph"/>
              <w:rPr>
                <w:rFonts w:ascii="微软雅黑"/>
                <w:b/>
                <w:i/>
              </w:rPr>
            </w:pPr>
          </w:p>
          <w:p w14:paraId="34D3072D" w14:textId="77777777" w:rsidR="004634C9" w:rsidRDefault="004634C9">
            <w:pPr>
              <w:pStyle w:val="TableParagraph"/>
              <w:rPr>
                <w:rFonts w:ascii="微软雅黑"/>
                <w:b/>
                <w:i/>
                <w:sz w:val="19"/>
              </w:rPr>
            </w:pPr>
          </w:p>
          <w:p w14:paraId="1EC72729" w14:textId="77777777" w:rsidR="004634C9" w:rsidRDefault="00000000">
            <w:pPr>
              <w:pStyle w:val="TableParagraph"/>
              <w:ind w:right="75"/>
              <w:jc w:val="right"/>
              <w:rPr>
                <w:sz w:val="21"/>
              </w:rPr>
            </w:pPr>
            <w:r>
              <w:rPr>
                <w:sz w:val="21"/>
              </w:rPr>
              <w:t>不得减持情形</w:t>
            </w:r>
          </w:p>
        </w:tc>
        <w:tc>
          <w:tcPr>
            <w:tcW w:w="7992" w:type="dxa"/>
            <w:tcBorders>
              <w:top w:val="nil"/>
              <w:bottom w:val="nil"/>
            </w:tcBorders>
          </w:tcPr>
          <w:p w14:paraId="59361341" w14:textId="77777777" w:rsidR="004634C9" w:rsidRDefault="00000000">
            <w:pPr>
              <w:pStyle w:val="TableParagraph"/>
              <w:spacing w:before="84" w:line="337" w:lineRule="exact"/>
              <w:ind w:left="40"/>
              <w:rPr>
                <w:sz w:val="21"/>
              </w:rPr>
            </w:pPr>
            <w:r>
              <w:rPr>
                <w:rFonts w:ascii="Microsoft JhengHei" w:eastAsia="Microsoft JhengHei" w:hint="eastAsia"/>
                <w:b/>
                <w:sz w:val="21"/>
              </w:rPr>
              <w:t>（一）大股东、控股股东、实际控制人、董监高</w:t>
            </w:r>
            <w:r>
              <w:rPr>
                <w:sz w:val="21"/>
              </w:rPr>
              <w:t>不得减持情形：同沪深交易所。</w:t>
            </w:r>
          </w:p>
          <w:p w14:paraId="0A8D89C5" w14:textId="77777777" w:rsidR="004634C9" w:rsidRDefault="00000000">
            <w:pPr>
              <w:pStyle w:val="TableParagraph"/>
              <w:spacing w:line="288" w:lineRule="exact"/>
              <w:ind w:left="40"/>
              <w:rPr>
                <w:sz w:val="21"/>
              </w:rPr>
            </w:pPr>
            <w:r>
              <w:rPr>
                <w:rFonts w:ascii="Microsoft JhengHei" w:eastAsia="Microsoft JhengHei" w:hint="eastAsia"/>
                <w:b/>
                <w:w w:val="105"/>
                <w:sz w:val="21"/>
              </w:rPr>
              <w:t>（二）控股股东、实际控制人、董监高</w:t>
            </w:r>
            <w:r>
              <w:rPr>
                <w:w w:val="105"/>
                <w:sz w:val="21"/>
              </w:rPr>
              <w:t>不得减持股份情形：同沪深交易所。</w:t>
            </w:r>
          </w:p>
          <w:p w14:paraId="72EB0648" w14:textId="77777777" w:rsidR="004634C9" w:rsidRDefault="00000000">
            <w:pPr>
              <w:pStyle w:val="TableParagraph"/>
              <w:spacing w:line="288" w:lineRule="exact"/>
              <w:ind w:left="40"/>
              <w:rPr>
                <w:sz w:val="21"/>
              </w:rPr>
            </w:pPr>
            <w:r>
              <w:rPr>
                <w:rFonts w:ascii="Microsoft JhengHei" w:eastAsia="Microsoft JhengHei" w:hint="eastAsia"/>
                <w:b/>
                <w:w w:val="105"/>
                <w:sz w:val="21"/>
              </w:rPr>
              <w:t>（三）董监高</w:t>
            </w:r>
            <w:r>
              <w:rPr>
                <w:w w:val="105"/>
                <w:sz w:val="21"/>
              </w:rPr>
              <w:t>在下列期间不得买卖本公司股份：</w:t>
            </w:r>
          </w:p>
          <w:p w14:paraId="3D5CEF71" w14:textId="77777777" w:rsidR="004634C9" w:rsidRDefault="00000000">
            <w:pPr>
              <w:pStyle w:val="TableParagraph"/>
              <w:numPr>
                <w:ilvl w:val="0"/>
                <w:numId w:val="6"/>
              </w:numPr>
              <w:tabs>
                <w:tab w:val="left" w:pos="582"/>
              </w:tabs>
              <w:spacing w:line="288" w:lineRule="exact"/>
              <w:rPr>
                <w:rFonts w:ascii="Microsoft JhengHei" w:eastAsia="Microsoft JhengHei"/>
                <w:b/>
                <w:sz w:val="21"/>
              </w:rPr>
            </w:pPr>
            <w:r>
              <w:rPr>
                <w:w w:val="115"/>
                <w:sz w:val="21"/>
              </w:rPr>
              <w:t>年度报告、半年度报告公告</w:t>
            </w:r>
            <w:r>
              <w:rPr>
                <w:rFonts w:ascii="Microsoft JhengHei" w:eastAsia="Microsoft JhengHei" w:hint="eastAsia"/>
                <w:b/>
                <w:color w:val="FF0000"/>
                <w:spacing w:val="11"/>
                <w:w w:val="115"/>
                <w:sz w:val="21"/>
              </w:rPr>
              <w:t>前</w:t>
            </w:r>
            <w:r>
              <w:rPr>
                <w:rFonts w:ascii="Microsoft JhengHei" w:eastAsia="Microsoft JhengHei" w:hint="eastAsia"/>
                <w:b/>
                <w:color w:val="FF0000"/>
                <w:spacing w:val="11"/>
                <w:w w:val="105"/>
                <w:sz w:val="21"/>
              </w:rPr>
              <w:t>15</w:t>
            </w:r>
            <w:r>
              <w:rPr>
                <w:rFonts w:ascii="Microsoft JhengHei" w:eastAsia="Microsoft JhengHei" w:hint="eastAsia"/>
                <w:b/>
                <w:color w:val="FF0000"/>
                <w:spacing w:val="12"/>
                <w:w w:val="115"/>
                <w:sz w:val="21"/>
              </w:rPr>
              <w:t>日内</w:t>
            </w:r>
            <w:r>
              <w:rPr>
                <w:rFonts w:ascii="Microsoft JhengHei" w:eastAsia="Microsoft JhengHei" w:hint="eastAsia"/>
                <w:b/>
                <w:spacing w:val="11"/>
                <w:w w:val="125"/>
                <w:sz w:val="21"/>
              </w:rPr>
              <w:t>(</w:t>
            </w:r>
            <w:r>
              <w:rPr>
                <w:rFonts w:ascii="Microsoft JhengHei" w:eastAsia="Microsoft JhengHei" w:hint="eastAsia"/>
                <w:b/>
                <w:spacing w:val="11"/>
                <w:w w:val="115"/>
                <w:sz w:val="21"/>
              </w:rPr>
              <w:t>原</w:t>
            </w:r>
            <w:r>
              <w:rPr>
                <w:rFonts w:ascii="Microsoft JhengHei" w:eastAsia="Microsoft JhengHei" w:hint="eastAsia"/>
                <w:b/>
                <w:spacing w:val="11"/>
                <w:w w:val="105"/>
                <w:sz w:val="21"/>
              </w:rPr>
              <w:t>30</w:t>
            </w:r>
            <w:r>
              <w:rPr>
                <w:rFonts w:ascii="Microsoft JhengHei" w:eastAsia="Microsoft JhengHei" w:hint="eastAsia"/>
                <w:b/>
                <w:spacing w:val="7"/>
                <w:w w:val="115"/>
                <w:sz w:val="21"/>
              </w:rPr>
              <w:t>日)；</w:t>
            </w:r>
          </w:p>
          <w:p w14:paraId="315AA27C" w14:textId="77777777" w:rsidR="004634C9" w:rsidRDefault="00000000">
            <w:pPr>
              <w:pStyle w:val="TableParagraph"/>
              <w:numPr>
                <w:ilvl w:val="0"/>
                <w:numId w:val="6"/>
              </w:numPr>
              <w:tabs>
                <w:tab w:val="left" w:pos="582"/>
              </w:tabs>
              <w:spacing w:line="323" w:lineRule="exact"/>
              <w:rPr>
                <w:rFonts w:ascii="Microsoft JhengHei" w:eastAsia="Microsoft JhengHei"/>
                <w:b/>
                <w:sz w:val="21"/>
              </w:rPr>
            </w:pPr>
            <w:r>
              <w:rPr>
                <w:w w:val="115"/>
                <w:sz w:val="21"/>
              </w:rPr>
              <w:t>季度报告、业绩预告、业绩快报公告</w:t>
            </w:r>
            <w:r>
              <w:rPr>
                <w:rFonts w:ascii="Microsoft JhengHei" w:eastAsia="Microsoft JhengHei" w:hint="eastAsia"/>
                <w:b/>
                <w:color w:val="FF0000"/>
                <w:spacing w:val="11"/>
                <w:w w:val="115"/>
                <w:sz w:val="21"/>
              </w:rPr>
              <w:t>前</w:t>
            </w:r>
            <w:r>
              <w:rPr>
                <w:rFonts w:ascii="Microsoft JhengHei" w:eastAsia="Microsoft JhengHei" w:hint="eastAsia"/>
                <w:b/>
                <w:color w:val="FF0000"/>
                <w:spacing w:val="11"/>
                <w:w w:val="105"/>
                <w:sz w:val="21"/>
              </w:rPr>
              <w:t>5</w:t>
            </w:r>
            <w:r>
              <w:rPr>
                <w:rFonts w:ascii="Microsoft JhengHei" w:eastAsia="Microsoft JhengHei" w:hint="eastAsia"/>
                <w:b/>
                <w:color w:val="FF0000"/>
                <w:spacing w:val="11"/>
                <w:w w:val="115"/>
                <w:sz w:val="21"/>
              </w:rPr>
              <w:t>日内</w:t>
            </w:r>
            <w:r>
              <w:rPr>
                <w:rFonts w:ascii="Microsoft JhengHei" w:eastAsia="Microsoft JhengHei" w:hint="eastAsia"/>
                <w:b/>
                <w:spacing w:val="11"/>
                <w:w w:val="125"/>
                <w:sz w:val="21"/>
              </w:rPr>
              <w:t>(</w:t>
            </w:r>
            <w:r>
              <w:rPr>
                <w:rFonts w:ascii="Microsoft JhengHei" w:eastAsia="Microsoft JhengHei" w:hint="eastAsia"/>
                <w:b/>
                <w:spacing w:val="11"/>
                <w:w w:val="115"/>
                <w:sz w:val="21"/>
              </w:rPr>
              <w:t>原</w:t>
            </w:r>
            <w:r>
              <w:rPr>
                <w:rFonts w:ascii="Microsoft JhengHei" w:eastAsia="Microsoft JhengHei" w:hint="eastAsia"/>
                <w:b/>
                <w:spacing w:val="11"/>
                <w:w w:val="105"/>
                <w:sz w:val="21"/>
              </w:rPr>
              <w:t>10</w:t>
            </w:r>
            <w:r>
              <w:rPr>
                <w:rFonts w:ascii="Microsoft JhengHei" w:eastAsia="Microsoft JhengHei" w:hint="eastAsia"/>
                <w:b/>
                <w:spacing w:val="7"/>
                <w:w w:val="115"/>
                <w:sz w:val="21"/>
              </w:rPr>
              <w:t>日)；</w:t>
            </w:r>
          </w:p>
          <w:p w14:paraId="7D18401E" w14:textId="77777777" w:rsidR="004634C9" w:rsidRDefault="00000000">
            <w:pPr>
              <w:pStyle w:val="TableParagraph"/>
              <w:numPr>
                <w:ilvl w:val="0"/>
                <w:numId w:val="6"/>
              </w:numPr>
              <w:tabs>
                <w:tab w:val="left" w:pos="582"/>
              </w:tabs>
              <w:spacing w:line="255" w:lineRule="exact"/>
              <w:rPr>
                <w:sz w:val="21"/>
              </w:rPr>
            </w:pPr>
            <w:r>
              <w:rPr>
                <w:sz w:val="21"/>
              </w:rPr>
              <w:t>自可能对本公司证券交易价格、投资者决策产生较大影响的重大事件发生之日</w:t>
            </w:r>
          </w:p>
          <w:p w14:paraId="2660AD45" w14:textId="77777777" w:rsidR="004634C9" w:rsidRDefault="00000000">
            <w:pPr>
              <w:pStyle w:val="TableParagraph"/>
              <w:spacing w:before="19"/>
              <w:ind w:left="40"/>
              <w:rPr>
                <w:sz w:val="21"/>
              </w:rPr>
            </w:pPr>
            <w:r>
              <w:rPr>
                <w:w w:val="105"/>
                <w:sz w:val="21"/>
              </w:rPr>
              <w:t>或者进入决策程序之日，至依法披露之日内；</w:t>
            </w:r>
          </w:p>
          <w:p w14:paraId="65E3F8F8" w14:textId="77777777" w:rsidR="004634C9" w:rsidRDefault="00000000">
            <w:pPr>
              <w:pStyle w:val="TableParagraph"/>
              <w:numPr>
                <w:ilvl w:val="0"/>
                <w:numId w:val="6"/>
              </w:numPr>
              <w:tabs>
                <w:tab w:val="left" w:pos="582"/>
              </w:tabs>
              <w:spacing w:before="19"/>
              <w:rPr>
                <w:sz w:val="21"/>
              </w:rPr>
            </w:pPr>
            <w:r>
              <w:rPr>
                <w:w w:val="105"/>
                <w:sz w:val="21"/>
              </w:rPr>
              <w:t>中国证监会、本所认定的其他期间。</w:t>
            </w:r>
          </w:p>
        </w:tc>
        <w:tc>
          <w:tcPr>
            <w:tcW w:w="7836" w:type="dxa"/>
            <w:tcBorders>
              <w:top w:val="nil"/>
              <w:bottom w:val="nil"/>
            </w:tcBorders>
          </w:tcPr>
          <w:p w14:paraId="75D3382E" w14:textId="77777777" w:rsidR="004634C9" w:rsidRDefault="00000000">
            <w:pPr>
              <w:pStyle w:val="TableParagraph"/>
              <w:numPr>
                <w:ilvl w:val="0"/>
                <w:numId w:val="5"/>
              </w:numPr>
              <w:tabs>
                <w:tab w:val="left" w:pos="583"/>
              </w:tabs>
              <w:spacing w:before="9" w:line="256" w:lineRule="auto"/>
              <w:ind w:right="115" w:firstLine="0"/>
              <w:rPr>
                <w:sz w:val="21"/>
              </w:rPr>
            </w:pPr>
            <w:r>
              <w:rPr>
                <w:spacing w:val="-1"/>
                <w:sz w:val="21"/>
              </w:rPr>
              <w:t>因涉嫌证券期货违法犯罪，在被中国证监会立案调查或者被司法机关立案侦</w:t>
            </w:r>
            <w:r>
              <w:rPr>
                <w:spacing w:val="-1"/>
                <w:w w:val="105"/>
                <w:sz w:val="21"/>
              </w:rPr>
              <w:t>查期间，以及在行政处罚决定、刑事判决作出之后未满6个月的；</w:t>
            </w:r>
          </w:p>
          <w:p w14:paraId="431F20BE" w14:textId="77777777" w:rsidR="004634C9" w:rsidRDefault="00000000">
            <w:pPr>
              <w:pStyle w:val="TableParagraph"/>
              <w:numPr>
                <w:ilvl w:val="0"/>
                <w:numId w:val="5"/>
              </w:numPr>
              <w:tabs>
                <w:tab w:val="left" w:pos="583"/>
              </w:tabs>
              <w:spacing w:before="1"/>
              <w:ind w:left="582"/>
              <w:rPr>
                <w:sz w:val="21"/>
              </w:rPr>
            </w:pPr>
            <w:r>
              <w:rPr>
                <w:w w:val="105"/>
                <w:sz w:val="21"/>
              </w:rPr>
              <w:t>因违反证券交易所规则，被证券交易所公开谴责未满3个月的；</w:t>
            </w:r>
          </w:p>
          <w:p w14:paraId="1C37DF62" w14:textId="77777777" w:rsidR="004634C9" w:rsidRDefault="00000000">
            <w:pPr>
              <w:pStyle w:val="TableParagraph"/>
              <w:numPr>
                <w:ilvl w:val="0"/>
                <w:numId w:val="5"/>
              </w:numPr>
              <w:tabs>
                <w:tab w:val="left" w:pos="583"/>
              </w:tabs>
              <w:spacing w:before="18" w:line="244" w:lineRule="exact"/>
              <w:ind w:left="582"/>
              <w:rPr>
                <w:sz w:val="21"/>
              </w:rPr>
            </w:pPr>
            <w:r>
              <w:rPr>
                <w:w w:val="105"/>
                <w:sz w:val="21"/>
              </w:rPr>
              <w:t>中国证监会规定的其他情形。</w:t>
            </w:r>
          </w:p>
          <w:p w14:paraId="26817B95" w14:textId="77777777" w:rsidR="004634C9" w:rsidRDefault="00000000">
            <w:pPr>
              <w:pStyle w:val="TableParagraph"/>
              <w:spacing w:before="26" w:line="196" w:lineRule="auto"/>
              <w:ind w:left="41" w:right="173"/>
              <w:jc w:val="both"/>
              <w:rPr>
                <w:sz w:val="21"/>
              </w:rPr>
            </w:pPr>
            <w:r>
              <w:rPr>
                <w:rFonts w:ascii="Microsoft JhengHei" w:eastAsia="Microsoft JhengHei" w:hint="eastAsia"/>
                <w:b/>
                <w:spacing w:val="11"/>
                <w:sz w:val="21"/>
              </w:rPr>
              <w:t>（二</w:t>
            </w:r>
            <w:r>
              <w:rPr>
                <w:rFonts w:ascii="Microsoft JhengHei" w:eastAsia="Microsoft JhengHei" w:hint="eastAsia"/>
                <w:b/>
                <w:spacing w:val="12"/>
                <w:sz w:val="21"/>
              </w:rPr>
              <w:t>）</w:t>
            </w:r>
            <w:r>
              <w:rPr>
                <w:sz w:val="21"/>
              </w:rPr>
              <w:t>具有下列情形的，上市公司</w:t>
            </w:r>
            <w:r>
              <w:rPr>
                <w:rFonts w:ascii="Microsoft JhengHei" w:eastAsia="Microsoft JhengHei" w:hint="eastAsia"/>
                <w:b/>
                <w:spacing w:val="11"/>
                <w:sz w:val="21"/>
              </w:rPr>
              <w:t xml:space="preserve">控股股东、实际控制人、董监高及其一致行 </w:t>
            </w:r>
            <w:r>
              <w:rPr>
                <w:rFonts w:ascii="Microsoft JhengHei" w:eastAsia="Microsoft JhengHei" w:hint="eastAsia"/>
                <w:b/>
                <w:spacing w:val="9"/>
                <w:sz w:val="21"/>
              </w:rPr>
              <w:t>动人</w:t>
            </w:r>
            <w:r>
              <w:rPr>
                <w:sz w:val="21"/>
              </w:rPr>
              <w:t>不得减持股份：上市公司股票可能触及本所业务规则规定的重大违法强制退 市情形的，自相关行政处罚事先告知书或者司法裁判作出之日起，至上市公司股</w:t>
            </w:r>
          </w:p>
          <w:p w14:paraId="506ED9D2" w14:textId="77777777" w:rsidR="004634C9" w:rsidRDefault="00000000">
            <w:pPr>
              <w:pStyle w:val="TableParagraph"/>
              <w:spacing w:before="8" w:line="290" w:lineRule="atLeast"/>
              <w:ind w:left="41" w:right="223"/>
              <w:rPr>
                <w:sz w:val="21"/>
              </w:rPr>
            </w:pPr>
            <w:r>
              <w:rPr>
                <w:spacing w:val="-1"/>
                <w:sz w:val="21"/>
              </w:rPr>
              <w:t xml:space="preserve">票终止上市并摘牌或者上市公司收到相关行政处罚决定或者人民法院生效司法裁 </w:t>
            </w:r>
            <w:r>
              <w:rPr>
                <w:spacing w:val="-1"/>
                <w:w w:val="105"/>
                <w:sz w:val="21"/>
              </w:rPr>
              <w:t>判，显示上市公司未触及重大违法强制退市情形期间。</w:t>
            </w:r>
          </w:p>
        </w:tc>
      </w:tr>
      <w:tr w:rsidR="004634C9" w14:paraId="06136C46" w14:textId="77777777">
        <w:trPr>
          <w:trHeight w:val="288"/>
        </w:trPr>
        <w:tc>
          <w:tcPr>
            <w:tcW w:w="1476" w:type="dxa"/>
            <w:tcBorders>
              <w:top w:val="nil"/>
              <w:bottom w:val="nil"/>
            </w:tcBorders>
          </w:tcPr>
          <w:p w14:paraId="737DC42F" w14:textId="77777777" w:rsidR="004634C9" w:rsidRDefault="004634C9">
            <w:pPr>
              <w:pStyle w:val="TableParagraph"/>
              <w:rPr>
                <w:rFonts w:ascii="Times New Roman"/>
                <w:sz w:val="20"/>
              </w:rPr>
            </w:pPr>
          </w:p>
        </w:tc>
        <w:tc>
          <w:tcPr>
            <w:tcW w:w="7992" w:type="dxa"/>
            <w:tcBorders>
              <w:top w:val="nil"/>
              <w:bottom w:val="nil"/>
            </w:tcBorders>
          </w:tcPr>
          <w:p w14:paraId="3ADC23EE" w14:textId="77777777" w:rsidR="004634C9" w:rsidRDefault="004634C9">
            <w:pPr>
              <w:pStyle w:val="TableParagraph"/>
              <w:rPr>
                <w:rFonts w:ascii="Times New Roman"/>
                <w:sz w:val="20"/>
              </w:rPr>
            </w:pPr>
          </w:p>
        </w:tc>
        <w:tc>
          <w:tcPr>
            <w:tcW w:w="7836" w:type="dxa"/>
            <w:tcBorders>
              <w:top w:val="nil"/>
              <w:bottom w:val="nil"/>
            </w:tcBorders>
          </w:tcPr>
          <w:p w14:paraId="2A5B27D2" w14:textId="77777777" w:rsidR="004634C9" w:rsidRDefault="00000000">
            <w:pPr>
              <w:pStyle w:val="TableParagraph"/>
              <w:spacing w:line="268" w:lineRule="exact"/>
              <w:ind w:left="41"/>
              <w:rPr>
                <w:sz w:val="21"/>
              </w:rPr>
            </w:pPr>
            <w:r>
              <w:rPr>
                <w:rFonts w:ascii="Microsoft JhengHei" w:eastAsia="Microsoft JhengHei" w:hint="eastAsia"/>
                <w:b/>
                <w:sz w:val="21"/>
              </w:rPr>
              <w:t>（三）</w:t>
            </w:r>
            <w:r>
              <w:rPr>
                <w:sz w:val="21"/>
              </w:rPr>
              <w:t>具有下列情形的，上市公司</w:t>
            </w:r>
            <w:r>
              <w:rPr>
                <w:rFonts w:ascii="Microsoft JhengHei" w:eastAsia="Microsoft JhengHei" w:hint="eastAsia"/>
                <w:b/>
                <w:sz w:val="21"/>
              </w:rPr>
              <w:t>董监高及其一致行动人</w:t>
            </w:r>
            <w:r>
              <w:rPr>
                <w:sz w:val="21"/>
              </w:rPr>
              <w:t>不得减持股份：该董监</w:t>
            </w:r>
          </w:p>
        </w:tc>
      </w:tr>
      <w:tr w:rsidR="004634C9" w14:paraId="66D8739D" w14:textId="77777777">
        <w:trPr>
          <w:trHeight w:val="268"/>
        </w:trPr>
        <w:tc>
          <w:tcPr>
            <w:tcW w:w="1476" w:type="dxa"/>
            <w:tcBorders>
              <w:top w:val="nil"/>
            </w:tcBorders>
          </w:tcPr>
          <w:p w14:paraId="322D69C2" w14:textId="77777777" w:rsidR="004634C9" w:rsidRDefault="004634C9">
            <w:pPr>
              <w:pStyle w:val="TableParagraph"/>
              <w:rPr>
                <w:rFonts w:ascii="Times New Roman"/>
                <w:sz w:val="18"/>
              </w:rPr>
            </w:pPr>
          </w:p>
        </w:tc>
        <w:tc>
          <w:tcPr>
            <w:tcW w:w="7992" w:type="dxa"/>
            <w:tcBorders>
              <w:top w:val="nil"/>
            </w:tcBorders>
          </w:tcPr>
          <w:p w14:paraId="133F1763" w14:textId="77777777" w:rsidR="004634C9" w:rsidRDefault="004634C9">
            <w:pPr>
              <w:pStyle w:val="TableParagraph"/>
              <w:rPr>
                <w:rFonts w:ascii="Times New Roman"/>
                <w:sz w:val="18"/>
              </w:rPr>
            </w:pPr>
          </w:p>
        </w:tc>
        <w:tc>
          <w:tcPr>
            <w:tcW w:w="7836" w:type="dxa"/>
            <w:tcBorders>
              <w:top w:val="nil"/>
            </w:tcBorders>
          </w:tcPr>
          <w:p w14:paraId="7670F79F" w14:textId="77777777" w:rsidR="004634C9" w:rsidRDefault="00000000">
            <w:pPr>
              <w:pStyle w:val="TableParagraph"/>
              <w:spacing w:before="9" w:line="238" w:lineRule="exact"/>
              <w:ind w:left="41"/>
              <w:rPr>
                <w:sz w:val="21"/>
              </w:rPr>
            </w:pPr>
            <w:r>
              <w:rPr>
                <w:w w:val="105"/>
                <w:sz w:val="21"/>
              </w:rPr>
              <w:t>高离职之后六个月内。</w:t>
            </w:r>
          </w:p>
        </w:tc>
      </w:tr>
    </w:tbl>
    <w:p w14:paraId="18D83AC2" w14:textId="77777777" w:rsidR="004634C9" w:rsidRDefault="00000000">
      <w:pPr>
        <w:ind w:left="1083"/>
        <w:rPr>
          <w:sz w:val="28"/>
        </w:rPr>
      </w:pPr>
      <w:r>
        <w:rPr>
          <w:color w:val="7E7E7E"/>
          <w:sz w:val="28"/>
        </w:rPr>
        <w:t>资料来源：上交所，深交所，北交所，万联证券研究所</w:t>
      </w:r>
    </w:p>
    <w:p w14:paraId="3A52ED75" w14:textId="77777777" w:rsidR="004634C9" w:rsidRDefault="004634C9">
      <w:pPr>
        <w:rPr>
          <w:sz w:val="28"/>
        </w:rPr>
        <w:sectPr w:rsidR="004634C9">
          <w:headerReference w:type="default" r:id="rId34"/>
          <w:pgSz w:w="19200" w:h="10800" w:orient="landscape"/>
          <w:pgMar w:top="1200" w:right="0" w:bottom="280" w:left="0" w:header="523" w:footer="0" w:gutter="0"/>
          <w:cols w:space="720"/>
        </w:sectPr>
      </w:pPr>
    </w:p>
    <w:p w14:paraId="1A6C7833" w14:textId="77777777" w:rsidR="004634C9" w:rsidRDefault="00000000">
      <w:pPr>
        <w:pStyle w:val="a3"/>
        <w:spacing w:before="11"/>
        <w:rPr>
          <w:sz w:val="11"/>
        </w:rPr>
      </w:pPr>
      <w:r>
        <w:rPr>
          <w:noProof/>
        </w:rPr>
        <w:lastRenderedPageBreak/>
        <w:drawing>
          <wp:anchor distT="0" distB="0" distL="0" distR="0" simplePos="0" relativeHeight="251705344" behindDoc="0" locked="0" layoutInCell="1" allowOverlap="1" wp14:anchorId="4F731C28" wp14:editId="0E0C165B">
            <wp:simplePos x="0" y="0"/>
            <wp:positionH relativeFrom="page">
              <wp:posOffset>9552431</wp:posOffset>
            </wp:positionH>
            <wp:positionV relativeFrom="page">
              <wp:posOffset>332231</wp:posOffset>
            </wp:positionV>
            <wp:extent cx="2231135" cy="438911"/>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00C26326">
          <v:group id="_x0000_s2209" style="position:absolute;margin-left:31.2pt;margin-top:26.15pt;width:52.95pt;height:28.45pt;z-index:251706368;mso-position-horizontal-relative:page;mso-position-vertical-relative:page" coordorigin="624,523" coordsize="1059,569">
            <v:shape id="_x0000_s2211" style="position:absolute;left:624;top:535;width:586;height:557" coordorigin="624,535" coordsize="586,557" path="m931,535r-307,l902,814,624,1092r307,l1210,814,931,535xe" fillcolor="#be1b1b" stroked="f">
              <v:path arrowok="t"/>
            </v:shape>
            <v:shape id="_x0000_s2210" style="position:absolute;left:1096;top:523;width:586;height:557" coordorigin="1097,523" coordsize="586,557" path="m1404,523r-307,l1375,802r-278,278l1404,1080,1682,802,1404,523xe" fillcolor="#d9d9d9" stroked="f">
              <v:path arrowok="t"/>
            </v:shape>
            <w10:wrap anchorx="page" anchory="page"/>
          </v:group>
        </w:pict>
      </w:r>
      <w:r>
        <w:pict w14:anchorId="3C626439">
          <v:shape id="_x0000_s2208" style="position:absolute;margin-left:91.1pt;margin-top:33.9pt;width:40.5pt;height:14.65pt;z-index:251707392;mso-position-horizontal-relative:page;mso-position-vertical-relative:page" coordorigin="1822,678" coordsize="810,293" o:spt="100" adj="0,,0" path="m1875,884r-53,6l1825,907r6,16l1840,937r12,12l1865,959r16,7l1898,970r18,1l1936,970r18,-6l1970,956r15,-12l1997,930r3,-4l1905,926r-9,-4l1881,908r-4,-11l1875,884xm1995,833r-67,l1938,837r7,8l1952,853r4,11l1956,892r-4,12l1937,921r-10,5l2000,926r6,-11l2011,898r1,-18l2011,868r-2,-12l2004,845r-6,-9l1995,833xm1993,723r-71,l1930,726r11,12l1944,745r,21l1940,776r-15,13l1913,792r-14,l1892,837r10,-3l1911,833r84,l1990,827r-10,-6l1970,815r-12,-3l1976,800r7,-8l1913,792r-14,l1983,792r6,-6l1997,770r3,-18l1998,739r-3,-12l1994,726r-1,-3xm1914,678r-11,1l1892,680r-11,3l1872,687r-13,6l1849,701r-7,11l1837,720r-4,10l1829,741r-3,12l1877,762r1,-13l1882,740r7,-7l1895,727r8,-4l1993,723r-5,-8l1979,704r-13,-11l1951,685r-17,-5l1914,678xm2114,911r-55,l2059,966r55,l2114,911xm2335,724r-73,l2271,727r14,13l2288,750r,23l2284,784r-7,12l2271,803r-10,10l2248,827r-17,16l2210,863r-18,18l2179,897r-10,14l2162,925r-5,13l2153,952r-3,14l2343,966r,-51l2234,915r3,-5l2241,905r4,-5l2250,895r7,-7l2266,879r12,-11l2290,857r10,-10l2308,839r6,-7l2321,822r6,-9l2332,804r4,-9l2341,783r2,-12l2343,758r-1,-16l2337,727r-2,-3xm2252,678r-18,1l2217,683r-16,6l2188,698r-12,11l2167,724r-6,18l2157,763r55,6l2213,753r4,-12l2223,734r7,-7l2239,724r96,l2329,713r-10,-12l2306,691r-16,-7l2272,680r-20,-2xm2447,911r-55,l2392,966r55,l2447,911xm2632,759r-55,l2577,966r55,l2632,759xm2632,678r-45,l2581,691r-7,12l2564,714r-12,10l2540,733r-12,8l2517,746r-11,5l2506,801r19,-8l2544,783r17,-11l2577,759r55,l2632,678xe" fillcolor="#0d0d0d" stroked="f">
            <v:stroke joinstyle="round"/>
            <v:formulas/>
            <v:path arrowok="t" o:connecttype="segments"/>
            <w10:wrap anchorx="page" anchory="page"/>
          </v:shape>
        </w:pict>
      </w:r>
      <w:r>
        <w:rPr>
          <w:noProof/>
        </w:rPr>
        <w:drawing>
          <wp:anchor distT="0" distB="0" distL="0" distR="0" simplePos="0" relativeHeight="251708416" behindDoc="0" locked="0" layoutInCell="1" allowOverlap="1" wp14:anchorId="25ABBA1F" wp14:editId="48100D47">
            <wp:simplePos x="0" y="0"/>
            <wp:positionH relativeFrom="page">
              <wp:posOffset>1788286</wp:posOffset>
            </wp:positionH>
            <wp:positionV relativeFrom="page">
              <wp:posOffset>399415</wp:posOffset>
            </wp:positionV>
            <wp:extent cx="4310126" cy="250825"/>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35" cstate="print"/>
                    <a:stretch>
                      <a:fillRect/>
                    </a:stretch>
                  </pic:blipFill>
                  <pic:spPr>
                    <a:xfrm>
                      <a:off x="0" y="0"/>
                      <a:ext cx="4310126" cy="250825"/>
                    </a:xfrm>
                    <a:prstGeom prst="rect">
                      <a:avLst/>
                    </a:prstGeom>
                  </pic:spPr>
                </pic:pic>
              </a:graphicData>
            </a:graphic>
          </wp:anchor>
        </w:drawing>
      </w:r>
    </w:p>
    <w:p w14:paraId="4E4BF612" w14:textId="77777777" w:rsidR="004634C9" w:rsidRDefault="00000000">
      <w:pPr>
        <w:pStyle w:val="a4"/>
        <w:numPr>
          <w:ilvl w:val="0"/>
          <w:numId w:val="7"/>
        </w:numPr>
        <w:tabs>
          <w:tab w:val="left" w:pos="1256"/>
        </w:tabs>
        <w:spacing w:before="16"/>
        <w:ind w:left="1255" w:hanging="317"/>
        <w:rPr>
          <w:sz w:val="32"/>
        </w:rPr>
      </w:pPr>
      <w:bookmarkStart w:id="18" w:name="幻灯片_19"/>
      <w:bookmarkEnd w:id="18"/>
      <w:r>
        <w:rPr>
          <w:spacing w:val="4"/>
          <w:sz w:val="32"/>
        </w:rPr>
        <w:t>减持受限比例指标：若为沪深股票，则判断依据是破净、破发、</w:t>
      </w:r>
      <w:r>
        <w:rPr>
          <w:b/>
          <w:i/>
          <w:spacing w:val="4"/>
          <w:sz w:val="32"/>
        </w:rPr>
        <w:t>分红</w:t>
      </w:r>
      <w:r>
        <w:rPr>
          <w:spacing w:val="3"/>
          <w:sz w:val="32"/>
        </w:rPr>
        <w:t>任意一个不达标；若为北交所，则判断依据是破净、</w:t>
      </w:r>
    </w:p>
    <w:p w14:paraId="532BFD8F" w14:textId="77777777" w:rsidR="004634C9" w:rsidRDefault="00000000">
      <w:pPr>
        <w:pStyle w:val="a3"/>
        <w:spacing w:line="538" w:lineRule="exact"/>
        <w:ind w:left="1211"/>
      </w:pPr>
      <w:r>
        <w:t>破发、</w:t>
      </w:r>
      <w:r>
        <w:rPr>
          <w:b/>
          <w:i/>
        </w:rPr>
        <w:t>净利润</w:t>
      </w:r>
      <w:r>
        <w:t>任意一个不达标。对三种情形下减持受限的公司进行测算：</w:t>
      </w:r>
    </w:p>
    <w:p w14:paraId="59AB3BCD" w14:textId="77777777" w:rsidR="004634C9" w:rsidRDefault="00000000">
      <w:pPr>
        <w:pStyle w:val="a4"/>
        <w:numPr>
          <w:ilvl w:val="0"/>
          <w:numId w:val="7"/>
        </w:numPr>
        <w:tabs>
          <w:tab w:val="left" w:pos="1256"/>
        </w:tabs>
        <w:spacing w:before="12" w:line="218" w:lineRule="auto"/>
        <w:ind w:right="747" w:hanging="272"/>
        <w:rPr>
          <w:sz w:val="32"/>
        </w:rPr>
      </w:pPr>
      <w:r>
        <w:rPr>
          <w:spacing w:val="7"/>
          <w:w w:val="95"/>
          <w:sz w:val="32"/>
        </w:rPr>
        <w:t>截至</w:t>
      </w:r>
      <w:r>
        <w:rPr>
          <w:rFonts w:ascii="Arial" w:eastAsia="Arial" w:hAnsi="Arial"/>
          <w:w w:val="95"/>
          <w:sz w:val="32"/>
        </w:rPr>
        <w:t>2024/5/21</w:t>
      </w:r>
      <w:r>
        <w:rPr>
          <w:spacing w:val="4"/>
          <w:w w:val="95"/>
          <w:sz w:val="32"/>
        </w:rPr>
        <w:t>，沪深</w:t>
      </w:r>
      <w:r>
        <w:rPr>
          <w:rFonts w:ascii="Arial" w:eastAsia="Arial" w:hAnsi="Arial"/>
          <w:spacing w:val="7"/>
          <w:w w:val="95"/>
          <w:sz w:val="32"/>
        </w:rPr>
        <w:t>A</w:t>
      </w:r>
      <w:r>
        <w:rPr>
          <w:spacing w:val="5"/>
          <w:w w:val="95"/>
          <w:sz w:val="32"/>
        </w:rPr>
        <w:t>股中过半数公司减持受限，分红条件不满足要求为主因，其次为破发条件触发。北交所</w:t>
      </w:r>
      <w:r>
        <w:rPr>
          <w:rFonts w:ascii="Arial" w:eastAsia="Arial" w:hAnsi="Arial"/>
          <w:w w:val="95"/>
          <w:sz w:val="32"/>
        </w:rPr>
        <w:t>248</w:t>
      </w:r>
      <w:r>
        <w:rPr>
          <w:spacing w:val="7"/>
          <w:w w:val="95"/>
          <w:sz w:val="32"/>
        </w:rPr>
        <w:t xml:space="preserve">家上市     </w:t>
      </w:r>
      <w:r>
        <w:rPr>
          <w:spacing w:val="12"/>
          <w:sz w:val="32"/>
        </w:rPr>
        <w:t>公司中， 有</w:t>
      </w:r>
      <w:r>
        <w:rPr>
          <w:rFonts w:ascii="Arial" w:eastAsia="Arial" w:hAnsi="Arial"/>
          <w:sz w:val="32"/>
        </w:rPr>
        <w:t>102</w:t>
      </w:r>
      <w:r>
        <w:rPr>
          <w:rFonts w:ascii="Arial" w:eastAsia="Arial" w:hAnsi="Arial"/>
          <w:spacing w:val="-60"/>
          <w:sz w:val="32"/>
        </w:rPr>
        <w:t xml:space="preserve"> </w:t>
      </w:r>
      <w:r>
        <w:rPr>
          <w:spacing w:val="24"/>
          <w:sz w:val="32"/>
        </w:rPr>
        <w:t>家公司减持受限， 减持受限比例达</w:t>
      </w:r>
      <w:r>
        <w:rPr>
          <w:rFonts w:ascii="Arial" w:eastAsia="Arial" w:hAnsi="Arial"/>
          <w:spacing w:val="5"/>
          <w:sz w:val="32"/>
        </w:rPr>
        <w:t>41.13%</w:t>
      </w:r>
      <w:r>
        <w:rPr>
          <w:spacing w:val="23"/>
          <w:sz w:val="32"/>
        </w:rPr>
        <w:t>， 其中破发情形的触发比例为</w:t>
      </w:r>
      <w:r>
        <w:rPr>
          <w:rFonts w:ascii="Arial" w:eastAsia="Arial" w:hAnsi="Arial"/>
          <w:spacing w:val="5"/>
          <w:sz w:val="32"/>
        </w:rPr>
        <w:t>37.50%</w:t>
      </w:r>
      <w:r>
        <w:rPr>
          <w:spacing w:val="16"/>
          <w:sz w:val="32"/>
        </w:rPr>
        <w:t>， 略高于沪深</w:t>
      </w:r>
      <w:r>
        <w:rPr>
          <w:rFonts w:ascii="Arial" w:eastAsia="Arial" w:hAnsi="Arial"/>
          <w:spacing w:val="36"/>
          <w:sz w:val="32"/>
        </w:rPr>
        <w:t>A</w:t>
      </w:r>
      <w:r>
        <w:rPr>
          <w:sz w:val="32"/>
        </w:rPr>
        <w:t>股</w:t>
      </w:r>
    </w:p>
    <w:p w14:paraId="1922140C" w14:textId="77777777" w:rsidR="004634C9" w:rsidRDefault="00000000">
      <w:pPr>
        <w:pStyle w:val="a3"/>
        <w:spacing w:line="554" w:lineRule="exact"/>
        <w:ind w:left="1211"/>
      </w:pPr>
      <w:r>
        <w:t>（</w:t>
      </w:r>
      <w:r>
        <w:rPr>
          <w:rFonts w:ascii="Arial" w:eastAsia="Arial"/>
        </w:rPr>
        <w:t>26.78%</w:t>
      </w:r>
      <w:r>
        <w:t>），而破净条件和亏损条件的触发比例分别为</w:t>
      </w:r>
      <w:r>
        <w:rPr>
          <w:rFonts w:ascii="Arial" w:eastAsia="Arial"/>
        </w:rPr>
        <w:t>5.65%</w:t>
      </w:r>
      <w:r>
        <w:t>和</w:t>
      </w:r>
      <w:r>
        <w:rPr>
          <w:rFonts w:ascii="Arial" w:eastAsia="Arial"/>
        </w:rPr>
        <w:t>8.87%</w:t>
      </w:r>
      <w:r>
        <w:t>。</w:t>
      </w:r>
    </w:p>
    <w:p w14:paraId="4B67CB67" w14:textId="77777777" w:rsidR="004634C9" w:rsidRDefault="004634C9">
      <w:pPr>
        <w:pStyle w:val="a3"/>
        <w:rPr>
          <w:sz w:val="20"/>
        </w:rPr>
      </w:pPr>
    </w:p>
    <w:p w14:paraId="67F30D5A" w14:textId="77777777" w:rsidR="004634C9" w:rsidRDefault="004634C9">
      <w:pPr>
        <w:pStyle w:val="a3"/>
        <w:spacing w:before="6"/>
        <w:rPr>
          <w:sz w:val="24"/>
        </w:rPr>
      </w:pPr>
    </w:p>
    <w:p w14:paraId="725414DA" w14:textId="77777777" w:rsidR="004634C9" w:rsidRPr="00C15B2C" w:rsidRDefault="00000000">
      <w:pPr>
        <w:spacing w:before="16" w:line="487" w:lineRule="exact"/>
        <w:ind w:left="1769"/>
        <w:rPr>
          <w:b/>
          <w:sz w:val="32"/>
        </w:rPr>
      </w:pPr>
      <w:r w:rsidRPr="00C15B2C">
        <w:rPr>
          <w:b/>
        </w:rPr>
        <w:pict w14:anchorId="2ADA4AB7">
          <v:group id="_x0000_s2168" style="position:absolute;left:0;text-align:left;margin-left:126.7pt;margin-top:-37.1pt;width:754.85pt;height:291.65pt;z-index:251730944;mso-position-horizontal-relative:page" coordorigin="2534,-742" coordsize="15097,5833">
            <v:shape id="_x0000_s2207" style="position:absolute;left:3465;top:971;width:13937;height:2979" coordorigin="3466,972" coordsize="13937,2979" o:spt="100" adj="0,,0" path="m3466,3950r13936,m3466,3206r729,m3466,2462r729,m3466,1718r729,m3466,972r729,e" filled="f" strokecolor="#d9d9d9">
              <v:stroke joinstyle="round"/>
              <v:formulas/>
              <v:path arrowok="t" o:connecttype="segments"/>
            </v:shape>
            <v:rect id="_x0000_s2206" style="position:absolute;left:4195;top:887;width:665;height:3063" fillcolor="#950000" stroked="f"/>
            <v:shape id="_x0000_s2205" style="position:absolute;left:5524;top:1717;width:10484;height:1488" coordorigin="5525,1718" coordsize="10484,1488" o:spt="100" adj="0,,0" path="m5525,3206r1457,m5525,2462r1457,m7646,1718r8362,m5525,1718r1457,e" filled="f" strokecolor="#d9d9d9">
              <v:stroke joinstyle="round"/>
              <v:formulas/>
              <v:path arrowok="t" o:connecttype="segments"/>
            </v:shape>
            <v:shape id="_x0000_s2204" style="position:absolute;left:6981;top:1158;width:6240;height:2792" coordorigin="6982,1159" coordsize="6240,2792" o:spt="100" adj="0,,0" path="m7646,1159r-664,l6982,3950r664,l7646,1159t2789,2371l9770,3530r,420l10435,3950r,-420m13222,3290r-665,l12557,3950r665,l13222,3290e" fillcolor="#950000" stroked="f">
              <v:stroke joinstyle="round"/>
              <v:formulas/>
              <v:path arrowok="t" o:connecttype="segments"/>
            </v:shape>
            <v:shape id="_x0000_s2203" style="position:absolute;left:3465;top:227;width:13937;height:744" coordorigin="3466,228" coordsize="13937,744" o:spt="100" adj="0,,0" path="m5525,972r11877,m5525,228r11877,m3466,228r1394,e" filled="f" strokecolor="#d9d9d9">
              <v:stroke joinstyle="round"/>
              <v:formulas/>
              <v:path arrowok="t" o:connecttype="segments"/>
            </v:shape>
            <v:rect id="_x0000_s2202" style="position:absolute;left:4860;top:-167;width:665;height:4116" fillcolor="#b4b4b4" stroked="f"/>
            <v:shape id="_x0000_s2201" style="position:absolute;left:8313;top:2461;width:7695;height:744" coordorigin="8314,2462" coordsize="7695,744" o:spt="100" adj="0,,0" path="m8314,3206r2121,m8314,2462r7694,e" filled="f" strokecolor="#d9d9d9">
              <v:stroke joinstyle="round"/>
              <v:formulas/>
              <v:path arrowok="t" o:connecttype="segments"/>
            </v:shape>
            <v:rect id="_x0000_s2200" style="position:absolute;left:7646;top:1955;width:668;height:1995" fillcolor="#b4b4b4" stroked="f"/>
            <v:line id="_x0000_s2199" style="position:absolute" from="11100,3206" to="16008,3206" strokecolor="#d9d9d9"/>
            <v:rect id="_x0000_s2198" style="position:absolute;left:10435;top:2961;width:665;height:989" fillcolor="#b4b4b4" stroked="f"/>
            <v:shape id="_x0000_s2197" style="position:absolute;left:16672;top:1717;width:730;height:1488" coordorigin="16673,1718" coordsize="730,1488" o:spt="100" adj="0,,0" path="m16673,3206r729,m16673,2462r729,m16673,1718r729,e" filled="f" strokecolor="#d9d9d9">
              <v:stroke joinstyle="round"/>
              <v:formulas/>
              <v:path arrowok="t" o:connecttype="segments"/>
            </v:shape>
            <v:rect id="_x0000_s2196" style="position:absolute;left:16008;top:1463;width:665;height:2487" fillcolor="#b4b4b4" stroked="f"/>
            <v:line id="_x0000_s2195" style="position:absolute" from="3466,-516" to="17402,-516" strokecolor="#d9d9d9"/>
            <v:rect id="_x0000_s2194" style="position:absolute;left:9024;top:4729;width:108;height:108" fillcolor="#950000" stroked="f"/>
            <v:rect id="_x0000_s2193" style="position:absolute;left:9024;top:4729;width:108;height:108" filled="f" strokecolor="#950000"/>
            <v:rect id="_x0000_s2192" style="position:absolute;left:10221;top:4729;width:108;height:108" fillcolor="#b4b4b4" stroked="f"/>
            <v:rect id="_x0000_s2191" style="position:absolute;left:10221;top:4729;width:108;height:108" filled="f" strokecolor="#b4b4b4"/>
            <v:rect id="_x0000_s2190" style="position:absolute;left:2541;top:-735;width:15082;height:5818" filled="f" strokecolor="#d9d9d9"/>
            <v:shapetype id="_x0000_t202" coordsize="21600,21600" o:spt="202" path="m,l,21600r21600,l21600,xe">
              <v:stroke joinstyle="miter"/>
              <v:path gradientshapeok="t" o:connecttype="rect"/>
            </v:shapetype>
            <v:shape id="_x0000_s2189" type="#_x0000_t202" style="position:absolute;left:9180;top:4665;width:2058;height:240" filled="f" stroked="f">
              <v:textbox inset="0,0,0,0">
                <w:txbxContent>
                  <w:p w14:paraId="114C09D8" w14:textId="77777777" w:rsidR="004634C9" w:rsidRDefault="00000000">
                    <w:pPr>
                      <w:tabs>
                        <w:tab w:val="left" w:pos="1197"/>
                      </w:tabs>
                      <w:spacing w:line="240" w:lineRule="exact"/>
                      <w:rPr>
                        <w:rFonts w:ascii="楷体" w:eastAsia="楷体"/>
                        <w:sz w:val="24"/>
                      </w:rPr>
                    </w:pPr>
                    <w:r>
                      <w:rPr>
                        <w:rFonts w:ascii="楷体" w:eastAsia="楷体" w:hint="eastAsia"/>
                        <w:color w:val="585858"/>
                        <w:sz w:val="24"/>
                      </w:rPr>
                      <w:t>北证A股</w:t>
                    </w:r>
                    <w:r>
                      <w:rPr>
                        <w:rFonts w:ascii="楷体" w:eastAsia="楷体" w:hint="eastAsia"/>
                        <w:color w:val="585858"/>
                        <w:sz w:val="24"/>
                      </w:rPr>
                      <w:tab/>
                      <w:t>沪深A股</w:t>
                    </w:r>
                  </w:p>
                </w:txbxContent>
              </v:textbox>
            </v:shape>
            <v:shape id="_x0000_s2188" type="#_x0000_t202" style="position:absolute;left:15449;top:4153;width:1146;height:282" filled="f" stroked="f">
              <v:textbox inset="0,0,0,0">
                <w:txbxContent>
                  <w:p w14:paraId="1B14E094" w14:textId="77777777" w:rsidR="004634C9" w:rsidRDefault="00000000">
                    <w:pPr>
                      <w:spacing w:line="281" w:lineRule="exact"/>
                      <w:rPr>
                        <w:rFonts w:ascii="楷体" w:eastAsia="楷体"/>
                        <w:sz w:val="28"/>
                      </w:rPr>
                    </w:pPr>
                    <w:r>
                      <w:rPr>
                        <w:rFonts w:ascii="楷体" w:eastAsia="楷体" w:hint="eastAsia"/>
                        <w:color w:val="585858"/>
                        <w:sz w:val="28"/>
                      </w:rPr>
                      <w:t>分红条件</w:t>
                    </w:r>
                  </w:p>
                </w:txbxContent>
              </v:textbox>
            </v:shape>
            <v:shape id="_x0000_s2187" type="#_x0000_t202" style="position:absolute;left:12662;top:4153;width:1144;height:282" filled="f" stroked="f">
              <v:textbox inset="0,0,0,0">
                <w:txbxContent>
                  <w:p w14:paraId="720E0C21" w14:textId="77777777" w:rsidR="004634C9" w:rsidRDefault="00000000">
                    <w:pPr>
                      <w:spacing w:line="281" w:lineRule="exact"/>
                      <w:rPr>
                        <w:rFonts w:ascii="楷体" w:eastAsia="楷体"/>
                        <w:sz w:val="28"/>
                      </w:rPr>
                    </w:pPr>
                    <w:r>
                      <w:rPr>
                        <w:rFonts w:ascii="楷体" w:eastAsia="楷体" w:hint="eastAsia"/>
                        <w:color w:val="585858"/>
                        <w:sz w:val="28"/>
                      </w:rPr>
                      <w:t>亏损条件</w:t>
                    </w:r>
                  </w:p>
                </w:txbxContent>
              </v:textbox>
            </v:shape>
            <v:shape id="_x0000_s2186" type="#_x0000_t202" style="position:absolute;left:9875;top:4153;width:1144;height:282" filled="f" stroked="f">
              <v:textbox inset="0,0,0,0">
                <w:txbxContent>
                  <w:p w14:paraId="7B349670" w14:textId="77777777" w:rsidR="004634C9" w:rsidRDefault="00000000">
                    <w:pPr>
                      <w:spacing w:line="281" w:lineRule="exact"/>
                      <w:rPr>
                        <w:rFonts w:ascii="楷体" w:eastAsia="楷体"/>
                        <w:sz w:val="28"/>
                      </w:rPr>
                    </w:pPr>
                    <w:r>
                      <w:rPr>
                        <w:rFonts w:ascii="楷体" w:eastAsia="楷体" w:hint="eastAsia"/>
                        <w:color w:val="585858"/>
                        <w:sz w:val="28"/>
                      </w:rPr>
                      <w:t>破净条件</w:t>
                    </w:r>
                  </w:p>
                </w:txbxContent>
              </v:textbox>
            </v:shape>
            <v:shape id="_x0000_s2185" type="#_x0000_t202" style="position:absolute;left:7087;top:4153;width:1144;height:282" filled="f" stroked="f">
              <v:textbox inset="0,0,0,0">
                <w:txbxContent>
                  <w:p w14:paraId="58231CE2" w14:textId="77777777" w:rsidR="004634C9" w:rsidRDefault="00000000">
                    <w:pPr>
                      <w:spacing w:line="281" w:lineRule="exact"/>
                      <w:rPr>
                        <w:rFonts w:ascii="楷体" w:eastAsia="楷体"/>
                        <w:sz w:val="28"/>
                      </w:rPr>
                    </w:pPr>
                    <w:r>
                      <w:rPr>
                        <w:rFonts w:ascii="楷体" w:eastAsia="楷体" w:hint="eastAsia"/>
                        <w:color w:val="585858"/>
                        <w:sz w:val="28"/>
                      </w:rPr>
                      <w:t>破发条件</w:t>
                    </w:r>
                  </w:p>
                </w:txbxContent>
              </v:textbox>
            </v:shape>
            <v:shape id="_x0000_s2184" type="#_x0000_t202" style="position:absolute;left:4019;top:4153;width:1704;height:282" filled="f" stroked="f">
              <v:textbox inset="0,0,0,0">
                <w:txbxContent>
                  <w:p w14:paraId="706D653E" w14:textId="77777777" w:rsidR="004634C9" w:rsidRDefault="00000000">
                    <w:pPr>
                      <w:spacing w:line="281" w:lineRule="exact"/>
                      <w:rPr>
                        <w:rFonts w:ascii="楷体" w:eastAsia="楷体"/>
                        <w:sz w:val="28"/>
                      </w:rPr>
                    </w:pPr>
                    <w:r>
                      <w:rPr>
                        <w:rFonts w:ascii="楷体" w:eastAsia="楷体" w:hint="eastAsia"/>
                        <w:color w:val="585858"/>
                        <w:sz w:val="28"/>
                      </w:rPr>
                      <w:t>减持受限比例</w:t>
                    </w:r>
                  </w:p>
                </w:txbxContent>
              </v:textbox>
            </v:shape>
            <v:shape id="_x0000_s2183" type="#_x0000_t202" style="position:absolute;left:2776;top:3845;width:546;height:212" filled="f" stroked="f">
              <v:textbox inset="0,0,0,0">
                <w:txbxContent>
                  <w:p w14:paraId="235FDB04" w14:textId="77777777" w:rsidR="004634C9" w:rsidRDefault="00000000">
                    <w:pPr>
                      <w:spacing w:line="211" w:lineRule="exact"/>
                      <w:rPr>
                        <w:rFonts w:ascii="楷体"/>
                        <w:sz w:val="21"/>
                      </w:rPr>
                    </w:pPr>
                    <w:r>
                      <w:rPr>
                        <w:rFonts w:ascii="楷体"/>
                        <w:color w:val="585858"/>
                        <w:sz w:val="21"/>
                      </w:rPr>
                      <w:t>0.00%</w:t>
                    </w:r>
                  </w:p>
                </w:txbxContent>
              </v:textbox>
            </v:shape>
            <v:shape id="_x0000_s2182" type="#_x0000_t202" style="position:absolute;left:9802;top:3165;width:620;height:240" filled="f" stroked="f">
              <v:textbox inset="0,0,0,0">
                <w:txbxContent>
                  <w:p w14:paraId="59899C42" w14:textId="77777777" w:rsidR="004634C9" w:rsidRDefault="00000000">
                    <w:pPr>
                      <w:spacing w:line="240" w:lineRule="exact"/>
                      <w:rPr>
                        <w:rFonts w:ascii="楷体"/>
                        <w:sz w:val="24"/>
                      </w:rPr>
                    </w:pPr>
                    <w:r>
                      <w:rPr>
                        <w:rFonts w:ascii="楷体"/>
                        <w:color w:val="585858"/>
                        <w:sz w:val="24"/>
                      </w:rPr>
                      <w:t>5.65%</w:t>
                    </w:r>
                  </w:p>
                </w:txbxContent>
              </v:textbox>
            </v:shape>
            <v:shape id="_x0000_s2181" type="#_x0000_t202" style="position:absolute;left:12590;top:2924;width:620;height:241" filled="f" stroked="f">
              <v:textbox inset="0,0,0,0">
                <w:txbxContent>
                  <w:p w14:paraId="1F5A7E92" w14:textId="77777777" w:rsidR="004634C9" w:rsidRDefault="00000000">
                    <w:pPr>
                      <w:spacing w:line="240" w:lineRule="exact"/>
                      <w:rPr>
                        <w:rFonts w:ascii="楷体"/>
                        <w:sz w:val="24"/>
                      </w:rPr>
                    </w:pPr>
                    <w:r>
                      <w:rPr>
                        <w:rFonts w:ascii="楷体"/>
                        <w:color w:val="585858"/>
                        <w:sz w:val="24"/>
                      </w:rPr>
                      <w:t>8.87%</w:t>
                    </w:r>
                  </w:p>
                </w:txbxContent>
              </v:textbox>
            </v:shape>
            <v:shape id="_x0000_s2180" type="#_x0000_t202" style="position:absolute;left:2671;top:3100;width:652;height:212" filled="f" stroked="f">
              <v:textbox inset="0,0,0,0">
                <w:txbxContent>
                  <w:p w14:paraId="082B6696" w14:textId="77777777" w:rsidR="004634C9" w:rsidRDefault="00000000">
                    <w:pPr>
                      <w:spacing w:line="211" w:lineRule="exact"/>
                      <w:rPr>
                        <w:rFonts w:ascii="楷体"/>
                        <w:sz w:val="21"/>
                      </w:rPr>
                    </w:pPr>
                    <w:r>
                      <w:rPr>
                        <w:rFonts w:ascii="楷体"/>
                        <w:color w:val="585858"/>
                        <w:sz w:val="21"/>
                      </w:rPr>
                      <w:t>10.00%</w:t>
                    </w:r>
                  </w:p>
                </w:txbxContent>
              </v:textbox>
            </v:shape>
            <v:shape id="_x0000_s2179" type="#_x0000_t202" style="position:absolute;left:10407;top:2597;width:743;height:241" filled="f" stroked="f">
              <v:textbox inset="0,0,0,0">
                <w:txbxContent>
                  <w:p w14:paraId="3CE337F5" w14:textId="77777777" w:rsidR="004634C9" w:rsidRDefault="00000000">
                    <w:pPr>
                      <w:spacing w:line="240" w:lineRule="exact"/>
                      <w:rPr>
                        <w:rFonts w:ascii="楷体"/>
                        <w:sz w:val="24"/>
                      </w:rPr>
                    </w:pPr>
                    <w:r>
                      <w:rPr>
                        <w:rFonts w:ascii="楷体"/>
                        <w:color w:val="585858"/>
                        <w:sz w:val="24"/>
                      </w:rPr>
                      <w:t>13.27%</w:t>
                    </w:r>
                  </w:p>
                </w:txbxContent>
              </v:textbox>
            </v:shape>
            <v:shape id="_x0000_s2178" type="#_x0000_t202" style="position:absolute;left:2671;top:2355;width:652;height:212" filled="f" stroked="f">
              <v:textbox inset="0,0,0,0">
                <w:txbxContent>
                  <w:p w14:paraId="6E3F32C2" w14:textId="77777777" w:rsidR="004634C9" w:rsidRDefault="00000000">
                    <w:pPr>
                      <w:spacing w:line="212" w:lineRule="exact"/>
                      <w:rPr>
                        <w:rFonts w:ascii="楷体"/>
                        <w:sz w:val="21"/>
                      </w:rPr>
                    </w:pPr>
                    <w:r>
                      <w:rPr>
                        <w:rFonts w:ascii="楷体"/>
                        <w:color w:val="585858"/>
                        <w:sz w:val="21"/>
                      </w:rPr>
                      <w:t>20.00%</w:t>
                    </w:r>
                  </w:p>
                </w:txbxContent>
              </v:textbox>
            </v:shape>
            <v:shape id="_x0000_s2177" type="#_x0000_t202" style="position:absolute;left:7620;top:1591;width:740;height:240" filled="f" stroked="f">
              <v:textbox inset="0,0,0,0">
                <w:txbxContent>
                  <w:p w14:paraId="3DA3B0F5" w14:textId="77777777" w:rsidR="004634C9" w:rsidRDefault="00000000">
                    <w:pPr>
                      <w:spacing w:line="240" w:lineRule="exact"/>
                      <w:rPr>
                        <w:rFonts w:ascii="楷体"/>
                        <w:sz w:val="24"/>
                      </w:rPr>
                    </w:pPr>
                    <w:r>
                      <w:rPr>
                        <w:rFonts w:ascii="楷体"/>
                        <w:color w:val="585858"/>
                        <w:sz w:val="24"/>
                      </w:rPr>
                      <w:t>26.78%</w:t>
                    </w:r>
                  </w:p>
                </w:txbxContent>
              </v:textbox>
            </v:shape>
            <v:shape id="_x0000_s2176" type="#_x0000_t202" style="position:absolute;left:2671;top:1611;width:652;height:212" filled="f" stroked="f">
              <v:textbox inset="0,0,0,0">
                <w:txbxContent>
                  <w:p w14:paraId="66FDC4E3" w14:textId="77777777" w:rsidR="004634C9" w:rsidRDefault="00000000">
                    <w:pPr>
                      <w:spacing w:line="212" w:lineRule="exact"/>
                      <w:rPr>
                        <w:rFonts w:ascii="楷体"/>
                        <w:sz w:val="21"/>
                      </w:rPr>
                    </w:pPr>
                    <w:r>
                      <w:rPr>
                        <w:rFonts w:ascii="楷体"/>
                        <w:color w:val="585858"/>
                        <w:sz w:val="21"/>
                      </w:rPr>
                      <w:t>30.00%</w:t>
                    </w:r>
                  </w:p>
                </w:txbxContent>
              </v:textbox>
            </v:shape>
            <v:shape id="_x0000_s2175" type="#_x0000_t202" style="position:absolute;left:15982;top:1099;width:740;height:240" filled="f" stroked="f">
              <v:textbox inset="0,0,0,0">
                <w:txbxContent>
                  <w:p w14:paraId="66B7C175" w14:textId="77777777" w:rsidR="004634C9" w:rsidRDefault="00000000">
                    <w:pPr>
                      <w:spacing w:line="240" w:lineRule="exact"/>
                      <w:rPr>
                        <w:rFonts w:ascii="楷体"/>
                        <w:sz w:val="24"/>
                      </w:rPr>
                    </w:pPr>
                    <w:r>
                      <w:rPr>
                        <w:rFonts w:ascii="楷体"/>
                        <w:color w:val="585858"/>
                        <w:sz w:val="24"/>
                      </w:rPr>
                      <w:t>33.39%</w:t>
                    </w:r>
                  </w:p>
                </w:txbxContent>
              </v:textbox>
            </v:shape>
            <v:shape id="_x0000_s2174" type="#_x0000_t202" style="position:absolute;left:6954;top:794;width:740;height:240" filled="f" stroked="f">
              <v:textbox inset="0,0,0,0">
                <w:txbxContent>
                  <w:p w14:paraId="4A2A99D5" w14:textId="77777777" w:rsidR="004634C9" w:rsidRDefault="00000000">
                    <w:pPr>
                      <w:spacing w:line="240" w:lineRule="exact"/>
                      <w:rPr>
                        <w:rFonts w:ascii="楷体"/>
                        <w:sz w:val="24"/>
                      </w:rPr>
                    </w:pPr>
                    <w:r>
                      <w:rPr>
                        <w:rFonts w:ascii="楷体"/>
                        <w:color w:val="585858"/>
                        <w:sz w:val="24"/>
                      </w:rPr>
                      <w:t>37.50%</w:t>
                    </w:r>
                  </w:p>
                </w:txbxContent>
              </v:textbox>
            </v:shape>
            <v:shape id="_x0000_s2173" type="#_x0000_t202" style="position:absolute;left:2671;top:867;width:652;height:212" filled="f" stroked="f">
              <v:textbox inset="0,0,0,0">
                <w:txbxContent>
                  <w:p w14:paraId="77792B6E" w14:textId="77777777" w:rsidR="004634C9" w:rsidRDefault="00000000">
                    <w:pPr>
                      <w:spacing w:line="211" w:lineRule="exact"/>
                      <w:rPr>
                        <w:rFonts w:ascii="楷体"/>
                        <w:sz w:val="21"/>
                      </w:rPr>
                    </w:pPr>
                    <w:r>
                      <w:rPr>
                        <w:rFonts w:ascii="楷体"/>
                        <w:color w:val="585858"/>
                        <w:sz w:val="21"/>
                      </w:rPr>
                      <w:t>40.00%</w:t>
                    </w:r>
                  </w:p>
                </w:txbxContent>
              </v:textbox>
            </v:shape>
            <v:shape id="_x0000_s2172" type="#_x0000_t202" style="position:absolute;left:4167;top:523;width:740;height:240" filled="f" stroked="f">
              <v:textbox inset="0,0,0,0">
                <w:txbxContent>
                  <w:p w14:paraId="2E7FFBA8" w14:textId="77777777" w:rsidR="004634C9" w:rsidRDefault="00000000">
                    <w:pPr>
                      <w:spacing w:line="240" w:lineRule="exact"/>
                      <w:rPr>
                        <w:rFonts w:ascii="楷体"/>
                        <w:sz w:val="24"/>
                      </w:rPr>
                    </w:pPr>
                    <w:r>
                      <w:rPr>
                        <w:rFonts w:ascii="楷体"/>
                        <w:color w:val="585858"/>
                        <w:sz w:val="24"/>
                      </w:rPr>
                      <w:t>41.13%</w:t>
                    </w:r>
                  </w:p>
                </w:txbxContent>
              </v:textbox>
            </v:shape>
            <v:shape id="_x0000_s2171" type="#_x0000_t202" style="position:absolute;left:2671;top:123;width:652;height:212" filled="f" stroked="f">
              <v:textbox inset="0,0,0,0">
                <w:txbxContent>
                  <w:p w14:paraId="5F0410D2" w14:textId="77777777" w:rsidR="004634C9" w:rsidRDefault="00000000">
                    <w:pPr>
                      <w:spacing w:line="211" w:lineRule="exact"/>
                      <w:rPr>
                        <w:rFonts w:ascii="楷体"/>
                        <w:sz w:val="21"/>
                      </w:rPr>
                    </w:pPr>
                    <w:r>
                      <w:rPr>
                        <w:rFonts w:ascii="楷体"/>
                        <w:color w:val="585858"/>
                        <w:sz w:val="21"/>
                      </w:rPr>
                      <w:t>50.00%</w:t>
                    </w:r>
                  </w:p>
                </w:txbxContent>
              </v:textbox>
            </v:shape>
            <v:shape id="_x0000_s2170" type="#_x0000_t202" style="position:absolute;left:4832;top:-531;width:740;height:240" filled="f" stroked="f">
              <v:textbox inset="0,0,0,0">
                <w:txbxContent>
                  <w:p w14:paraId="1D76E2B1" w14:textId="77777777" w:rsidR="004634C9" w:rsidRDefault="00000000">
                    <w:pPr>
                      <w:spacing w:line="240" w:lineRule="exact"/>
                      <w:rPr>
                        <w:rFonts w:ascii="楷体"/>
                        <w:sz w:val="24"/>
                      </w:rPr>
                    </w:pPr>
                    <w:r>
                      <w:rPr>
                        <w:rFonts w:ascii="楷体"/>
                        <w:color w:val="585858"/>
                        <w:sz w:val="24"/>
                      </w:rPr>
                      <w:t>55.29%</w:t>
                    </w:r>
                  </w:p>
                </w:txbxContent>
              </v:textbox>
            </v:shape>
            <v:shape id="_x0000_s2169" type="#_x0000_t202" style="position:absolute;left:2671;top:-622;width:652;height:212" filled="f" stroked="f">
              <v:textbox inset="0,0,0,0">
                <w:txbxContent>
                  <w:p w14:paraId="50178AB5" w14:textId="77777777" w:rsidR="004634C9" w:rsidRDefault="00000000">
                    <w:pPr>
                      <w:spacing w:line="211" w:lineRule="exact"/>
                      <w:rPr>
                        <w:rFonts w:ascii="楷体"/>
                        <w:sz w:val="21"/>
                      </w:rPr>
                    </w:pPr>
                    <w:r>
                      <w:rPr>
                        <w:rFonts w:ascii="楷体"/>
                        <w:color w:val="585858"/>
                        <w:sz w:val="21"/>
                      </w:rPr>
                      <w:t>60.00%</w:t>
                    </w:r>
                  </w:p>
                </w:txbxContent>
              </v:textbox>
            </v:shape>
            <w10:wrap anchorx="page"/>
          </v:group>
        </w:pict>
      </w:r>
      <w:r w:rsidRPr="00C15B2C">
        <w:rPr>
          <w:b/>
          <w:color w:val="BE1B1B"/>
          <w:w w:val="99"/>
          <w:sz w:val="32"/>
        </w:rPr>
        <w:t>A</w:t>
      </w:r>
    </w:p>
    <w:p w14:paraId="1EB0E343" w14:textId="77777777" w:rsidR="004634C9" w:rsidRPr="00C15B2C" w:rsidRDefault="00000000">
      <w:pPr>
        <w:pStyle w:val="4"/>
        <w:spacing w:before="45" w:line="156" w:lineRule="auto"/>
        <w:ind w:left="1730" w:right="17147"/>
        <w:jc w:val="both"/>
        <w:rPr>
          <w:bCs w:val="0"/>
          <w:i w:val="0"/>
        </w:rPr>
      </w:pPr>
      <w:r w:rsidRPr="00C15B2C">
        <w:rPr>
          <w:bCs w:val="0"/>
          <w:i w:val="0"/>
          <w:color w:val="BE1B1B"/>
        </w:rPr>
        <w:t>股减持受限公司测算</w:t>
      </w:r>
    </w:p>
    <w:p w14:paraId="030B42C2" w14:textId="77777777" w:rsidR="004634C9" w:rsidRDefault="004634C9">
      <w:pPr>
        <w:pStyle w:val="a3"/>
        <w:rPr>
          <w:b/>
          <w:i/>
          <w:sz w:val="20"/>
        </w:rPr>
      </w:pPr>
    </w:p>
    <w:p w14:paraId="620CAF8B" w14:textId="77777777" w:rsidR="004634C9" w:rsidRDefault="004634C9">
      <w:pPr>
        <w:pStyle w:val="a3"/>
        <w:rPr>
          <w:b/>
          <w:i/>
          <w:sz w:val="20"/>
        </w:rPr>
      </w:pPr>
    </w:p>
    <w:p w14:paraId="1BB741A4" w14:textId="77777777" w:rsidR="004634C9" w:rsidRDefault="004634C9">
      <w:pPr>
        <w:pStyle w:val="a3"/>
        <w:spacing w:before="2"/>
        <w:rPr>
          <w:b/>
          <w:i/>
          <w:sz w:val="20"/>
        </w:rPr>
      </w:pPr>
    </w:p>
    <w:p w14:paraId="2A17D0B3" w14:textId="77777777" w:rsidR="006845C7" w:rsidRDefault="006845C7">
      <w:pPr>
        <w:spacing w:before="28"/>
        <w:ind w:left="1083"/>
        <w:rPr>
          <w:color w:val="7E7E7E"/>
          <w:sz w:val="28"/>
          <w:lang w:eastAsia="zh-CN"/>
        </w:rPr>
      </w:pPr>
    </w:p>
    <w:p w14:paraId="605DE866" w14:textId="49DC78EC" w:rsidR="004634C9" w:rsidRDefault="00000000">
      <w:pPr>
        <w:spacing w:before="28"/>
        <w:ind w:left="1083"/>
        <w:rPr>
          <w:sz w:val="28"/>
        </w:rPr>
      </w:pPr>
      <w:r>
        <w:rPr>
          <w:color w:val="7E7E7E"/>
          <w:sz w:val="28"/>
        </w:rPr>
        <w:t>数据来源：同花顺，万联证券研究所。数据截至：2024/5/21</w:t>
      </w:r>
    </w:p>
    <w:p w14:paraId="0DA97743" w14:textId="77777777" w:rsidR="004634C9" w:rsidRDefault="004634C9">
      <w:pPr>
        <w:rPr>
          <w:sz w:val="28"/>
        </w:rPr>
        <w:sectPr w:rsidR="004634C9">
          <w:pgSz w:w="19200" w:h="10800" w:orient="landscape"/>
          <w:pgMar w:top="1200" w:right="0" w:bottom="0" w:left="0" w:header="523" w:footer="0" w:gutter="0"/>
          <w:cols w:space="720"/>
        </w:sectPr>
      </w:pPr>
    </w:p>
    <w:p w14:paraId="3950EF86" w14:textId="77777777" w:rsidR="004634C9" w:rsidRDefault="00000000">
      <w:pPr>
        <w:pStyle w:val="a3"/>
        <w:spacing w:before="11"/>
        <w:rPr>
          <w:sz w:val="11"/>
        </w:rPr>
      </w:pPr>
      <w:r>
        <w:lastRenderedPageBreak/>
        <w:pict w14:anchorId="137113DE">
          <v:shape id="_x0000_s2167" style="position:absolute;margin-left:91.1pt;margin-top:33.9pt;width:26.25pt;height:14.65pt;z-index:251731968;mso-position-horizontal-relative:page;mso-position-vertical-relative:page" coordorigin="1822,678" coordsize="525,293" o:spt="100" adj="0,,0" path="m1875,884r-53,6l1825,907r6,16l1840,937r12,12l1865,959r16,7l1898,970r18,1l1936,970r18,-6l1970,956r15,-12l1997,930r3,-4l1905,926r-9,-4l1881,908r-4,-11l1875,884xm1995,833r-67,l1938,837r7,8l1952,853r4,11l1956,892r-4,12l1937,921r-10,5l2000,926r6,-11l2011,898r1,-18l2011,868r-2,-12l2004,845r-6,-9l1995,833xm1993,723r-71,l1930,726r11,12l1944,745r,21l1940,776r-15,13l1913,792r-14,l1892,837r10,-3l1911,833r84,l1990,827r-10,-6l1970,815r-12,-3l1976,800r7,-8l1913,792r-14,l1983,792r6,-6l1997,770r3,-18l1998,739r-3,-12l1994,726r-1,-3xm1914,678r-11,1l1892,680r-11,3l1872,687r-13,6l1849,701r-7,11l1837,720r-4,10l1829,741r-3,12l1877,762r1,-13l1882,740r7,-7l1895,727r8,-4l1993,723r-5,-8l1979,704r-13,-11l1951,685r-17,-5l1914,678xm2114,911r-55,l2059,966r55,l2114,911xm2209,884r-54,6l2159,907r6,16l2174,937r11,12l2199,959r15,7l2231,970r19,1l2269,970r18,-6l2304,956r14,-12l2330,930r3,-4l2239,926r-9,-4l2215,908r-5,-11l2209,884xm2329,833r-67,l2271,837r8,8l2286,853r4,11l2290,892r-4,12l2270,921r-9,5l2333,926r6,-11l2344,898r2,-18l2345,868r-3,-12l2338,845r-7,-9l2329,833xm2326,723r-70,l2264,726r5,6l2275,738r3,7l2278,766r-4,10l2258,789r-11,3l2232,792r-6,45l2236,834r8,-1l2329,833r-6,-6l2314,821r-11,-6l2292,812r18,-12l2317,792r-70,l2232,792r85,l2323,786r8,-16l2333,752r-1,-13l2328,727r,-1l2326,723xm2248,678r-12,1l2225,680r-10,3l2205,687r-12,6l2183,701r-7,11l2171,720r-5,10l2163,741r-3,12l2210,762r2,-13l2216,740r6,-7l2229,727r8,-4l2326,723r-4,-8l2313,704r-13,-11l2284,685r-17,-5l2248,678xe" fillcolor="#0d0d0d" stroked="f">
            <v:stroke joinstyle="round"/>
            <v:formulas/>
            <v:path arrowok="t" o:connecttype="segments"/>
            <w10:wrap anchorx="page" anchory="page"/>
          </v:shape>
        </w:pict>
      </w:r>
      <w:r>
        <w:rPr>
          <w:noProof/>
        </w:rPr>
        <w:drawing>
          <wp:anchor distT="0" distB="0" distL="0" distR="0" simplePos="0" relativeHeight="251732992" behindDoc="0" locked="0" layoutInCell="1" allowOverlap="1" wp14:anchorId="7413E6C4" wp14:editId="3A88D31B">
            <wp:simplePos x="0" y="0"/>
            <wp:positionH relativeFrom="page">
              <wp:posOffset>1573149</wp:posOffset>
            </wp:positionH>
            <wp:positionV relativeFrom="page">
              <wp:posOffset>399922</wp:posOffset>
            </wp:positionV>
            <wp:extent cx="5841365" cy="249554"/>
            <wp:effectExtent l="0" t="0" r="0" b="0"/>
            <wp:wrapNone/>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36" cstate="print"/>
                    <a:stretch>
                      <a:fillRect/>
                    </a:stretch>
                  </pic:blipFill>
                  <pic:spPr>
                    <a:xfrm>
                      <a:off x="0" y="0"/>
                      <a:ext cx="5841365" cy="249554"/>
                    </a:xfrm>
                    <a:prstGeom prst="rect">
                      <a:avLst/>
                    </a:prstGeom>
                  </pic:spPr>
                </pic:pic>
              </a:graphicData>
            </a:graphic>
          </wp:anchor>
        </w:drawing>
      </w:r>
    </w:p>
    <w:p w14:paraId="7101CBA2" w14:textId="77777777" w:rsidR="004634C9" w:rsidRDefault="00000000">
      <w:pPr>
        <w:pStyle w:val="a4"/>
        <w:numPr>
          <w:ilvl w:val="0"/>
          <w:numId w:val="7"/>
        </w:numPr>
        <w:tabs>
          <w:tab w:val="left" w:pos="1256"/>
        </w:tabs>
        <w:spacing w:before="16"/>
        <w:ind w:left="1255" w:hanging="317"/>
        <w:rPr>
          <w:sz w:val="32"/>
        </w:rPr>
      </w:pPr>
      <w:bookmarkStart w:id="19" w:name="幻灯片_20"/>
      <w:bookmarkEnd w:id="19"/>
      <w:r>
        <w:rPr>
          <w:sz w:val="32"/>
        </w:rPr>
        <w:t>沪深交易所规定，</w:t>
      </w:r>
      <w:r>
        <w:rPr>
          <w:b/>
          <w:i/>
          <w:sz w:val="32"/>
        </w:rPr>
        <w:t>转板公司</w:t>
      </w:r>
      <w:r>
        <w:rPr>
          <w:sz w:val="32"/>
        </w:rPr>
        <w:t>的控股股东、实控人及其一致行动人，以股票在本所上市首日的开盘参考价为基础，适用破发</w:t>
      </w:r>
    </w:p>
    <w:p w14:paraId="6CEDEB87" w14:textId="77777777" w:rsidR="004634C9" w:rsidRDefault="00000000">
      <w:pPr>
        <w:pStyle w:val="a3"/>
        <w:spacing w:line="538" w:lineRule="exact"/>
        <w:ind w:left="1211"/>
      </w:pPr>
      <w:r>
        <w:t>相关规定。这种不确定性可能会一定程度上降低大股东和实控人的转板意愿。</w:t>
      </w:r>
    </w:p>
    <w:p w14:paraId="7E71869C" w14:textId="77777777" w:rsidR="004634C9" w:rsidRDefault="00000000">
      <w:pPr>
        <w:pStyle w:val="a4"/>
        <w:numPr>
          <w:ilvl w:val="0"/>
          <w:numId w:val="7"/>
        </w:numPr>
        <w:tabs>
          <w:tab w:val="left" w:pos="1256"/>
        </w:tabs>
        <w:ind w:left="1255" w:hanging="317"/>
        <w:rPr>
          <w:sz w:val="32"/>
        </w:rPr>
      </w:pPr>
      <w:r>
        <w:rPr>
          <w:sz w:val="32"/>
        </w:rPr>
        <w:t>针对离婚、赠与、司法强制执行等情形，新增约束规定。</w:t>
      </w:r>
    </w:p>
    <w:p w14:paraId="64461684" w14:textId="77777777" w:rsidR="004634C9" w:rsidRDefault="004634C9">
      <w:pPr>
        <w:pStyle w:val="a3"/>
        <w:rPr>
          <w:sz w:val="20"/>
        </w:rPr>
      </w:pPr>
    </w:p>
    <w:p w14:paraId="6FDAABEE" w14:textId="77777777" w:rsidR="004634C9" w:rsidRDefault="004634C9">
      <w:pPr>
        <w:pStyle w:val="a3"/>
        <w:spacing w:before="2"/>
        <w:rPr>
          <w:sz w:val="22"/>
        </w:rPr>
      </w:pPr>
    </w:p>
    <w:p w14:paraId="3302AB78" w14:textId="77777777" w:rsidR="004634C9" w:rsidRDefault="00000000">
      <w:pPr>
        <w:pStyle w:val="4"/>
        <w:spacing w:before="15"/>
        <w:ind w:right="5330"/>
        <w:jc w:val="center"/>
      </w:pPr>
      <w:r>
        <w:rPr>
          <w:color w:val="BE1B1B"/>
        </w:rPr>
        <w:t>北交所与沪深交易所股份减持要素对比（续）</w:t>
      </w:r>
    </w:p>
    <w:p w14:paraId="0878E48D" w14:textId="77777777" w:rsidR="004634C9" w:rsidRDefault="004634C9">
      <w:pPr>
        <w:pStyle w:val="a3"/>
        <w:spacing w:before="8"/>
        <w:rPr>
          <w:b/>
          <w:i/>
          <w:sz w:val="5"/>
        </w:rPr>
      </w:pPr>
    </w:p>
    <w:tbl>
      <w:tblPr>
        <w:tblStyle w:val="TableNormal"/>
        <w:tblW w:w="0" w:type="auto"/>
        <w:tblInd w:w="1049" w:type="dxa"/>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Look w:val="01E0" w:firstRow="1" w:lastRow="1" w:firstColumn="1" w:lastColumn="1" w:noHBand="0" w:noVBand="0"/>
      </w:tblPr>
      <w:tblGrid>
        <w:gridCol w:w="1476"/>
        <w:gridCol w:w="7992"/>
        <w:gridCol w:w="7836"/>
      </w:tblGrid>
      <w:tr w:rsidR="004634C9" w14:paraId="659A2C17" w14:textId="77777777">
        <w:trPr>
          <w:trHeight w:val="274"/>
        </w:trPr>
        <w:tc>
          <w:tcPr>
            <w:tcW w:w="1476" w:type="dxa"/>
            <w:tcBorders>
              <w:top w:val="nil"/>
              <w:left w:val="nil"/>
              <w:right w:val="single" w:sz="6" w:space="0" w:color="FFFFFF"/>
            </w:tcBorders>
            <w:shd w:val="clear" w:color="auto" w:fill="A40020"/>
          </w:tcPr>
          <w:p w14:paraId="20E4B36A" w14:textId="77777777" w:rsidR="004634C9" w:rsidRDefault="004634C9">
            <w:pPr>
              <w:pStyle w:val="TableParagraph"/>
              <w:rPr>
                <w:rFonts w:ascii="Times New Roman"/>
                <w:sz w:val="20"/>
              </w:rPr>
            </w:pPr>
          </w:p>
        </w:tc>
        <w:tc>
          <w:tcPr>
            <w:tcW w:w="7992" w:type="dxa"/>
            <w:tcBorders>
              <w:top w:val="nil"/>
              <w:left w:val="single" w:sz="6" w:space="0" w:color="FFFFFF"/>
              <w:right w:val="single" w:sz="6" w:space="0" w:color="FFFFFF"/>
            </w:tcBorders>
            <w:shd w:val="clear" w:color="auto" w:fill="A40020"/>
          </w:tcPr>
          <w:p w14:paraId="00C3BA36" w14:textId="77777777" w:rsidR="004634C9" w:rsidRDefault="00000000">
            <w:pPr>
              <w:pStyle w:val="TableParagraph"/>
              <w:spacing w:line="254" w:lineRule="exact"/>
              <w:ind w:left="3643" w:right="3632"/>
              <w:jc w:val="center"/>
              <w:rPr>
                <w:rFonts w:ascii="Microsoft JhengHei" w:eastAsia="Microsoft JhengHei"/>
                <w:b/>
                <w:sz w:val="21"/>
              </w:rPr>
            </w:pPr>
            <w:r>
              <w:rPr>
                <w:rFonts w:ascii="Microsoft JhengHei" w:eastAsia="Microsoft JhengHei" w:hint="eastAsia"/>
                <w:b/>
                <w:color w:val="FFFFFF"/>
                <w:w w:val="105"/>
                <w:sz w:val="21"/>
              </w:rPr>
              <w:t>北交所</w:t>
            </w:r>
          </w:p>
        </w:tc>
        <w:tc>
          <w:tcPr>
            <w:tcW w:w="7836" w:type="dxa"/>
            <w:tcBorders>
              <w:top w:val="nil"/>
              <w:left w:val="single" w:sz="6" w:space="0" w:color="FFFFFF"/>
              <w:right w:val="single" w:sz="6" w:space="0" w:color="FFFFFF"/>
            </w:tcBorders>
            <w:shd w:val="clear" w:color="auto" w:fill="A40020"/>
          </w:tcPr>
          <w:p w14:paraId="6FCB4EC7" w14:textId="77777777" w:rsidR="004634C9" w:rsidRDefault="00000000">
            <w:pPr>
              <w:pStyle w:val="TableParagraph"/>
              <w:spacing w:line="254" w:lineRule="exact"/>
              <w:ind w:left="3339" w:right="3339"/>
              <w:jc w:val="center"/>
              <w:rPr>
                <w:rFonts w:ascii="Microsoft JhengHei" w:eastAsia="Microsoft JhengHei"/>
                <w:b/>
                <w:sz w:val="21"/>
              </w:rPr>
            </w:pPr>
            <w:r>
              <w:rPr>
                <w:rFonts w:ascii="Microsoft JhengHei" w:eastAsia="Microsoft JhengHei" w:hint="eastAsia"/>
                <w:b/>
                <w:color w:val="FFFFFF"/>
                <w:w w:val="105"/>
                <w:sz w:val="21"/>
              </w:rPr>
              <w:t>沪深交易所</w:t>
            </w:r>
          </w:p>
        </w:tc>
      </w:tr>
      <w:tr w:rsidR="004634C9" w14:paraId="3C26FE1D" w14:textId="77777777">
        <w:trPr>
          <w:trHeight w:val="1005"/>
        </w:trPr>
        <w:tc>
          <w:tcPr>
            <w:tcW w:w="1476" w:type="dxa"/>
            <w:tcBorders>
              <w:bottom w:val="nil"/>
            </w:tcBorders>
          </w:tcPr>
          <w:p w14:paraId="669A6736" w14:textId="77777777" w:rsidR="004634C9" w:rsidRDefault="004634C9">
            <w:pPr>
              <w:pStyle w:val="TableParagraph"/>
              <w:rPr>
                <w:rFonts w:ascii="Times New Roman"/>
              </w:rPr>
            </w:pPr>
          </w:p>
        </w:tc>
        <w:tc>
          <w:tcPr>
            <w:tcW w:w="7992" w:type="dxa"/>
            <w:tcBorders>
              <w:bottom w:val="nil"/>
            </w:tcBorders>
          </w:tcPr>
          <w:p w14:paraId="4C76824B" w14:textId="77777777" w:rsidR="004634C9" w:rsidRDefault="004634C9">
            <w:pPr>
              <w:pStyle w:val="TableParagraph"/>
              <w:rPr>
                <w:rFonts w:ascii="微软雅黑"/>
                <w:b/>
                <w:i/>
              </w:rPr>
            </w:pPr>
          </w:p>
          <w:p w14:paraId="797164DD" w14:textId="77777777" w:rsidR="004634C9" w:rsidRDefault="004634C9">
            <w:pPr>
              <w:pStyle w:val="TableParagraph"/>
              <w:spacing w:before="3"/>
              <w:rPr>
                <w:rFonts w:ascii="微软雅黑"/>
                <w:b/>
                <w:i/>
                <w:sz w:val="14"/>
              </w:rPr>
            </w:pPr>
          </w:p>
          <w:p w14:paraId="0E376886" w14:textId="77777777" w:rsidR="004634C9" w:rsidRDefault="00000000">
            <w:pPr>
              <w:pStyle w:val="TableParagraph"/>
              <w:spacing w:line="318" w:lineRule="exact"/>
              <w:ind w:left="40"/>
              <w:rPr>
                <w:sz w:val="21"/>
              </w:rPr>
            </w:pPr>
            <w:r>
              <w:rPr>
                <w:sz w:val="21"/>
              </w:rPr>
              <w:t>（一）</w:t>
            </w:r>
            <w:r>
              <w:rPr>
                <w:rFonts w:ascii="Microsoft JhengHei" w:eastAsia="Microsoft JhengHei" w:hint="eastAsia"/>
                <w:b/>
                <w:color w:val="FF0000"/>
                <w:sz w:val="21"/>
              </w:rPr>
              <w:t>上市公司大股东、董监高不得融券卖出本公司股份</w:t>
            </w:r>
            <w:r>
              <w:rPr>
                <w:sz w:val="21"/>
              </w:rPr>
              <w:t>。股东持有的股份在限</w:t>
            </w:r>
          </w:p>
        </w:tc>
        <w:tc>
          <w:tcPr>
            <w:tcW w:w="7836" w:type="dxa"/>
            <w:vMerge w:val="restart"/>
          </w:tcPr>
          <w:p w14:paraId="7EB1A86E" w14:textId="77777777" w:rsidR="004634C9" w:rsidRDefault="00000000">
            <w:pPr>
              <w:pStyle w:val="TableParagraph"/>
              <w:spacing w:before="17" w:line="180" w:lineRule="auto"/>
              <w:ind w:left="41" w:right="53"/>
              <w:rPr>
                <w:sz w:val="21"/>
              </w:rPr>
            </w:pPr>
            <w:r>
              <w:rPr>
                <w:sz w:val="21"/>
              </w:rPr>
              <w:t>（一）</w:t>
            </w:r>
            <w:r>
              <w:rPr>
                <w:rFonts w:ascii="Microsoft JhengHei" w:eastAsia="Microsoft JhengHei" w:hint="eastAsia"/>
                <w:b/>
                <w:color w:val="FF0000"/>
                <w:spacing w:val="11"/>
                <w:sz w:val="21"/>
              </w:rPr>
              <w:t xml:space="preserve">上市公司大股东、董监高不得融券卖出本公司股份，不得开展以本公司 </w:t>
            </w:r>
            <w:r>
              <w:rPr>
                <w:rFonts w:ascii="Microsoft JhengHei" w:eastAsia="Microsoft JhengHei" w:hint="eastAsia"/>
                <w:b/>
                <w:color w:val="FF0000"/>
                <w:spacing w:val="10"/>
                <w:sz w:val="21"/>
              </w:rPr>
              <w:t>股份为合约标的物的衍生品交易</w:t>
            </w:r>
            <w:r>
              <w:rPr>
                <w:sz w:val="21"/>
              </w:rPr>
              <w:t>。股东持有的股份在限制转让期限内的，不得融</w:t>
            </w:r>
          </w:p>
          <w:p w14:paraId="0097764E" w14:textId="77777777" w:rsidR="004634C9" w:rsidRDefault="00000000">
            <w:pPr>
              <w:pStyle w:val="TableParagraph"/>
              <w:spacing w:line="256" w:lineRule="auto"/>
              <w:ind w:left="41" w:right="223"/>
              <w:rPr>
                <w:sz w:val="21"/>
              </w:rPr>
            </w:pPr>
            <w:r>
              <w:rPr>
                <w:spacing w:val="-1"/>
                <w:sz w:val="21"/>
              </w:rPr>
              <w:t xml:space="preserve">券卖出。股东在获得具有限制转让期限的股份前，存在尚未了结的该上市公司股 </w:t>
            </w:r>
            <w:r>
              <w:rPr>
                <w:spacing w:val="-1"/>
                <w:w w:val="105"/>
                <w:sz w:val="21"/>
              </w:rPr>
              <w:t>份融券合约的，应当在获得相关股份前了结融券合约。</w:t>
            </w:r>
          </w:p>
          <w:p w14:paraId="4DA24901" w14:textId="77777777" w:rsidR="004634C9" w:rsidRDefault="00000000">
            <w:pPr>
              <w:pStyle w:val="TableParagraph"/>
              <w:spacing w:line="302" w:lineRule="exact"/>
              <w:ind w:left="41"/>
              <w:rPr>
                <w:sz w:val="21"/>
              </w:rPr>
            </w:pPr>
            <w:r>
              <w:rPr>
                <w:sz w:val="21"/>
              </w:rPr>
              <w:t>（二）上市公司股东因</w:t>
            </w:r>
            <w:r>
              <w:rPr>
                <w:rFonts w:ascii="Microsoft JhengHei" w:eastAsia="Microsoft JhengHei" w:hint="eastAsia"/>
                <w:b/>
                <w:color w:val="FF0000"/>
                <w:sz w:val="21"/>
              </w:rPr>
              <w:t>参与认购或者申购ETF减持股份</w:t>
            </w:r>
            <w:r>
              <w:rPr>
                <w:sz w:val="21"/>
              </w:rPr>
              <w:t>的，参照适用关于股东通</w:t>
            </w:r>
          </w:p>
          <w:p w14:paraId="65D78DD1" w14:textId="77777777" w:rsidR="004634C9" w:rsidRDefault="00000000">
            <w:pPr>
              <w:pStyle w:val="TableParagraph"/>
              <w:spacing w:line="229" w:lineRule="exact"/>
              <w:ind w:left="41"/>
              <w:rPr>
                <w:sz w:val="21"/>
              </w:rPr>
            </w:pPr>
            <w:r>
              <w:rPr>
                <w:w w:val="105"/>
                <w:sz w:val="21"/>
              </w:rPr>
              <w:t>过集中竞价交易方式减持股份的规定。</w:t>
            </w:r>
          </w:p>
          <w:p w14:paraId="19688A28" w14:textId="77777777" w:rsidR="004634C9" w:rsidRDefault="00000000">
            <w:pPr>
              <w:pStyle w:val="TableParagraph"/>
              <w:spacing w:line="218" w:lineRule="auto"/>
              <w:ind w:left="41" w:right="100"/>
              <w:rPr>
                <w:sz w:val="21"/>
              </w:rPr>
            </w:pPr>
            <w:r>
              <w:rPr>
                <w:sz w:val="21"/>
              </w:rPr>
              <w:t>（三）上市公司股东</w:t>
            </w:r>
            <w:r>
              <w:rPr>
                <w:rFonts w:ascii="Microsoft JhengHei" w:eastAsia="Microsoft JhengHei" w:hint="eastAsia"/>
                <w:b/>
                <w:color w:val="FF0000"/>
                <w:spacing w:val="10"/>
                <w:sz w:val="21"/>
              </w:rPr>
              <w:t>按照相关规定赠与股份</w:t>
            </w:r>
            <w:r>
              <w:rPr>
                <w:sz w:val="21"/>
              </w:rPr>
              <w:t xml:space="preserve">的，参照适用关于股东通过协议转让 </w:t>
            </w:r>
            <w:r>
              <w:rPr>
                <w:w w:val="105"/>
                <w:sz w:val="21"/>
              </w:rPr>
              <w:t>方式减持股份的规定，但关于受让比例、转让价格下限的规定除外。</w:t>
            </w:r>
          </w:p>
          <w:p w14:paraId="5A88E457" w14:textId="77777777" w:rsidR="004634C9" w:rsidRDefault="00000000">
            <w:pPr>
              <w:pStyle w:val="TableParagraph"/>
              <w:spacing w:line="326" w:lineRule="exact"/>
              <w:ind w:left="41"/>
              <w:rPr>
                <w:sz w:val="21"/>
              </w:rPr>
            </w:pPr>
            <w:r>
              <w:rPr>
                <w:sz w:val="21"/>
              </w:rPr>
              <w:t>（四）</w:t>
            </w:r>
            <w:r>
              <w:rPr>
                <w:rFonts w:ascii="Microsoft JhengHei" w:eastAsia="Microsoft JhengHei" w:hint="eastAsia"/>
                <w:b/>
                <w:color w:val="FF0000"/>
                <w:sz w:val="21"/>
              </w:rPr>
              <w:t>转板公司、重新上市公司</w:t>
            </w:r>
            <w:r>
              <w:rPr>
                <w:sz w:val="21"/>
              </w:rPr>
              <w:t>在本所上市时的控股股东、实际控制人及其一致</w:t>
            </w:r>
          </w:p>
          <w:p w14:paraId="50ACC634" w14:textId="77777777" w:rsidR="004634C9" w:rsidRDefault="00000000">
            <w:pPr>
              <w:pStyle w:val="TableParagraph"/>
              <w:spacing w:line="255" w:lineRule="exact"/>
              <w:ind w:left="41"/>
              <w:rPr>
                <w:sz w:val="21"/>
              </w:rPr>
            </w:pPr>
            <w:r>
              <w:rPr>
                <w:sz w:val="21"/>
              </w:rPr>
              <w:t>行动人，以股票在本所上市首日的开盘参考价为基础，适用破发相关规定，同时</w:t>
            </w:r>
          </w:p>
          <w:p w14:paraId="0F3CA89D" w14:textId="77777777" w:rsidR="004634C9" w:rsidRDefault="00000000">
            <w:pPr>
              <w:pStyle w:val="TableParagraph"/>
              <w:spacing w:before="15" w:line="244" w:lineRule="exact"/>
              <w:ind w:left="41"/>
              <w:rPr>
                <w:sz w:val="21"/>
              </w:rPr>
            </w:pPr>
            <w:r>
              <w:rPr>
                <w:w w:val="105"/>
                <w:sz w:val="21"/>
              </w:rPr>
              <w:t>明确相关公司大股东、特定股东的适用及减持要求。</w:t>
            </w:r>
          </w:p>
          <w:p w14:paraId="251D3BD8" w14:textId="77777777" w:rsidR="004634C9" w:rsidRDefault="00000000">
            <w:pPr>
              <w:pStyle w:val="TableParagraph"/>
              <w:spacing w:line="218" w:lineRule="auto"/>
              <w:ind w:left="41" w:right="50"/>
              <w:rPr>
                <w:sz w:val="21"/>
              </w:rPr>
            </w:pPr>
            <w:r>
              <w:rPr>
                <w:sz w:val="21"/>
              </w:rPr>
              <w:t>（五）上市公司大股东以外的股东减持其</w:t>
            </w:r>
            <w:r>
              <w:rPr>
                <w:rFonts w:ascii="Microsoft JhengHei" w:eastAsia="Microsoft JhengHei" w:hint="eastAsia"/>
                <w:b/>
                <w:color w:val="FF0000"/>
                <w:spacing w:val="10"/>
                <w:sz w:val="21"/>
              </w:rPr>
              <w:t>参与重组上市取得的本公司股份</w:t>
            </w:r>
            <w:r>
              <w:rPr>
                <w:sz w:val="21"/>
              </w:rPr>
              <w:t xml:space="preserve">的，参 </w:t>
            </w:r>
            <w:r>
              <w:rPr>
                <w:w w:val="105"/>
                <w:sz w:val="21"/>
              </w:rPr>
              <w:t>照适用关于特定股东减持的规定。</w:t>
            </w:r>
          </w:p>
          <w:p w14:paraId="6D8D98C5" w14:textId="77777777" w:rsidR="004634C9" w:rsidRDefault="00000000">
            <w:pPr>
              <w:pStyle w:val="TableParagraph"/>
              <w:spacing w:line="326" w:lineRule="exact"/>
              <w:ind w:left="41"/>
              <w:rPr>
                <w:sz w:val="21"/>
              </w:rPr>
            </w:pPr>
            <w:r>
              <w:rPr>
                <w:sz w:val="21"/>
              </w:rPr>
              <w:t>（六）上市公司股东及其一致行动人之间采取</w:t>
            </w:r>
            <w:r>
              <w:rPr>
                <w:rFonts w:ascii="Microsoft JhengHei" w:eastAsia="Microsoft JhengHei" w:hint="eastAsia"/>
                <w:b/>
                <w:color w:val="FF0000"/>
                <w:sz w:val="21"/>
              </w:rPr>
              <w:t>大宗交易、协议转让</w:t>
            </w:r>
            <w:r>
              <w:rPr>
                <w:sz w:val="21"/>
              </w:rPr>
              <w:t>等方式转让股</w:t>
            </w:r>
          </w:p>
          <w:p w14:paraId="6C2AAC75" w14:textId="77777777" w:rsidR="004634C9" w:rsidRDefault="00000000">
            <w:pPr>
              <w:pStyle w:val="TableParagraph"/>
              <w:spacing w:line="222" w:lineRule="exact"/>
              <w:ind w:left="41"/>
              <w:rPr>
                <w:sz w:val="21"/>
              </w:rPr>
            </w:pPr>
            <w:r>
              <w:rPr>
                <w:w w:val="105"/>
                <w:sz w:val="21"/>
              </w:rPr>
              <w:t>份的，视为减持股份，转让方、受让方应当按照交易方式适用相关规定。</w:t>
            </w:r>
          </w:p>
        </w:tc>
      </w:tr>
      <w:tr w:rsidR="004634C9" w14:paraId="14364134" w14:textId="77777777">
        <w:trPr>
          <w:trHeight w:val="272"/>
        </w:trPr>
        <w:tc>
          <w:tcPr>
            <w:tcW w:w="1476" w:type="dxa"/>
            <w:tcBorders>
              <w:top w:val="nil"/>
              <w:bottom w:val="nil"/>
            </w:tcBorders>
          </w:tcPr>
          <w:p w14:paraId="3EEF70E2" w14:textId="77777777" w:rsidR="004634C9" w:rsidRDefault="004634C9">
            <w:pPr>
              <w:pStyle w:val="TableParagraph"/>
              <w:rPr>
                <w:rFonts w:ascii="Times New Roman"/>
                <w:sz w:val="20"/>
              </w:rPr>
            </w:pPr>
          </w:p>
        </w:tc>
        <w:tc>
          <w:tcPr>
            <w:tcW w:w="7992" w:type="dxa"/>
            <w:tcBorders>
              <w:top w:val="nil"/>
              <w:bottom w:val="nil"/>
            </w:tcBorders>
          </w:tcPr>
          <w:p w14:paraId="02CA597C" w14:textId="77777777" w:rsidR="004634C9" w:rsidRDefault="00000000">
            <w:pPr>
              <w:pStyle w:val="TableParagraph"/>
              <w:spacing w:before="4" w:line="249" w:lineRule="exact"/>
              <w:ind w:left="40"/>
              <w:rPr>
                <w:sz w:val="21"/>
              </w:rPr>
            </w:pPr>
            <w:r>
              <w:rPr>
                <w:sz w:val="21"/>
              </w:rPr>
              <w:t>制转让期限内的，不得融券卖出。股东在获得具有限制转让期限的股份前，存在尚</w:t>
            </w:r>
          </w:p>
        </w:tc>
        <w:tc>
          <w:tcPr>
            <w:tcW w:w="7836" w:type="dxa"/>
            <w:vMerge/>
            <w:tcBorders>
              <w:top w:val="nil"/>
            </w:tcBorders>
          </w:tcPr>
          <w:p w14:paraId="27D7932F" w14:textId="77777777" w:rsidR="004634C9" w:rsidRDefault="004634C9">
            <w:pPr>
              <w:rPr>
                <w:sz w:val="2"/>
                <w:szCs w:val="2"/>
              </w:rPr>
            </w:pPr>
          </w:p>
        </w:tc>
      </w:tr>
      <w:tr w:rsidR="004634C9" w14:paraId="1C1F5AB0" w14:textId="77777777">
        <w:trPr>
          <w:trHeight w:val="272"/>
        </w:trPr>
        <w:tc>
          <w:tcPr>
            <w:tcW w:w="1476" w:type="dxa"/>
            <w:tcBorders>
              <w:top w:val="nil"/>
              <w:bottom w:val="nil"/>
            </w:tcBorders>
          </w:tcPr>
          <w:p w14:paraId="00702B2E" w14:textId="77777777" w:rsidR="004634C9" w:rsidRDefault="004634C9">
            <w:pPr>
              <w:pStyle w:val="TableParagraph"/>
              <w:rPr>
                <w:rFonts w:ascii="Times New Roman"/>
                <w:sz w:val="20"/>
              </w:rPr>
            </w:pPr>
          </w:p>
        </w:tc>
        <w:tc>
          <w:tcPr>
            <w:tcW w:w="7992" w:type="dxa"/>
            <w:tcBorders>
              <w:top w:val="nil"/>
              <w:bottom w:val="nil"/>
            </w:tcBorders>
          </w:tcPr>
          <w:p w14:paraId="6A353B88" w14:textId="77777777" w:rsidR="004634C9" w:rsidRDefault="00000000">
            <w:pPr>
              <w:pStyle w:val="TableParagraph"/>
              <w:spacing w:before="4" w:line="249" w:lineRule="exact"/>
              <w:ind w:left="40"/>
              <w:rPr>
                <w:sz w:val="21"/>
              </w:rPr>
            </w:pPr>
            <w:r>
              <w:rPr>
                <w:w w:val="105"/>
                <w:sz w:val="21"/>
              </w:rPr>
              <w:t>未了结的该上市公司股份融券合约的，应当在获得相关股份前了结融券合约。</w:t>
            </w:r>
          </w:p>
        </w:tc>
        <w:tc>
          <w:tcPr>
            <w:tcW w:w="7836" w:type="dxa"/>
            <w:vMerge/>
            <w:tcBorders>
              <w:top w:val="nil"/>
            </w:tcBorders>
          </w:tcPr>
          <w:p w14:paraId="1739B69D" w14:textId="77777777" w:rsidR="004634C9" w:rsidRDefault="004634C9">
            <w:pPr>
              <w:rPr>
                <w:sz w:val="2"/>
                <w:szCs w:val="2"/>
              </w:rPr>
            </w:pPr>
          </w:p>
        </w:tc>
      </w:tr>
      <w:tr w:rsidR="004634C9" w14:paraId="0CA66C18" w14:textId="77777777">
        <w:trPr>
          <w:trHeight w:val="273"/>
        </w:trPr>
        <w:tc>
          <w:tcPr>
            <w:tcW w:w="1476" w:type="dxa"/>
            <w:tcBorders>
              <w:top w:val="nil"/>
              <w:bottom w:val="nil"/>
            </w:tcBorders>
          </w:tcPr>
          <w:p w14:paraId="79E6C782" w14:textId="77777777" w:rsidR="004634C9" w:rsidRDefault="004634C9">
            <w:pPr>
              <w:pStyle w:val="TableParagraph"/>
              <w:rPr>
                <w:rFonts w:ascii="Times New Roman"/>
                <w:sz w:val="20"/>
              </w:rPr>
            </w:pPr>
          </w:p>
        </w:tc>
        <w:tc>
          <w:tcPr>
            <w:tcW w:w="7992" w:type="dxa"/>
            <w:tcBorders>
              <w:top w:val="nil"/>
              <w:bottom w:val="nil"/>
            </w:tcBorders>
          </w:tcPr>
          <w:p w14:paraId="2580C18F" w14:textId="77777777" w:rsidR="004634C9" w:rsidRDefault="00000000">
            <w:pPr>
              <w:pStyle w:val="TableParagraph"/>
              <w:spacing w:line="253" w:lineRule="exact"/>
              <w:ind w:left="40"/>
              <w:rPr>
                <w:rFonts w:ascii="Microsoft JhengHei" w:eastAsia="Microsoft JhengHei"/>
                <w:b/>
                <w:sz w:val="21"/>
              </w:rPr>
            </w:pPr>
            <w:r>
              <w:rPr>
                <w:w w:val="105"/>
                <w:sz w:val="21"/>
              </w:rPr>
              <w:t>（二）</w:t>
            </w:r>
            <w:r>
              <w:rPr>
                <w:rFonts w:ascii="Microsoft JhengHei" w:eastAsia="Microsoft JhengHei" w:hint="eastAsia"/>
                <w:b/>
                <w:color w:val="FF0000"/>
                <w:w w:val="105"/>
                <w:sz w:val="21"/>
              </w:rPr>
              <w:t>因离婚、法人或者非法人组织终止、公司分立等导致上市公司大股东、</w:t>
            </w:r>
          </w:p>
        </w:tc>
        <w:tc>
          <w:tcPr>
            <w:tcW w:w="7836" w:type="dxa"/>
            <w:vMerge/>
            <w:tcBorders>
              <w:top w:val="nil"/>
            </w:tcBorders>
          </w:tcPr>
          <w:p w14:paraId="578E6430" w14:textId="77777777" w:rsidR="004634C9" w:rsidRDefault="004634C9">
            <w:pPr>
              <w:rPr>
                <w:sz w:val="2"/>
                <w:szCs w:val="2"/>
              </w:rPr>
            </w:pPr>
          </w:p>
        </w:tc>
      </w:tr>
      <w:tr w:rsidR="004634C9" w14:paraId="66EAFEBC" w14:textId="77777777">
        <w:trPr>
          <w:trHeight w:val="560"/>
        </w:trPr>
        <w:tc>
          <w:tcPr>
            <w:tcW w:w="1476" w:type="dxa"/>
            <w:tcBorders>
              <w:top w:val="nil"/>
              <w:bottom w:val="nil"/>
            </w:tcBorders>
          </w:tcPr>
          <w:p w14:paraId="678D8259" w14:textId="77777777" w:rsidR="004634C9" w:rsidRDefault="00000000">
            <w:pPr>
              <w:pStyle w:val="TableParagraph"/>
              <w:spacing w:before="148"/>
              <w:ind w:left="88"/>
              <w:rPr>
                <w:sz w:val="21"/>
              </w:rPr>
            </w:pPr>
            <w:r>
              <w:rPr>
                <w:w w:val="105"/>
                <w:sz w:val="21"/>
              </w:rPr>
              <w:t>严防绕道减持</w:t>
            </w:r>
          </w:p>
        </w:tc>
        <w:tc>
          <w:tcPr>
            <w:tcW w:w="7992" w:type="dxa"/>
            <w:tcBorders>
              <w:top w:val="nil"/>
              <w:bottom w:val="nil"/>
            </w:tcBorders>
          </w:tcPr>
          <w:p w14:paraId="3ACE81ED" w14:textId="77777777" w:rsidR="004634C9" w:rsidRDefault="00000000">
            <w:pPr>
              <w:pStyle w:val="TableParagraph"/>
              <w:spacing w:line="307" w:lineRule="exact"/>
              <w:ind w:left="40"/>
              <w:rPr>
                <w:sz w:val="21"/>
              </w:rPr>
            </w:pPr>
            <w:r>
              <w:rPr>
                <w:rFonts w:ascii="Microsoft JhengHei" w:eastAsia="Microsoft JhengHei" w:hint="eastAsia"/>
                <w:b/>
                <w:color w:val="FF0000"/>
                <w:sz w:val="21"/>
              </w:rPr>
              <w:t>董监高减持股份</w:t>
            </w:r>
            <w:r>
              <w:rPr>
                <w:sz w:val="21"/>
              </w:rPr>
              <w:t>的，股份过出方、过入方应当在股票过户后持续共同遵守本指引关</w:t>
            </w:r>
          </w:p>
          <w:p w14:paraId="1F5B22AA" w14:textId="77777777" w:rsidR="004634C9" w:rsidRDefault="00000000">
            <w:pPr>
              <w:pStyle w:val="TableParagraph"/>
              <w:spacing w:line="234" w:lineRule="exact"/>
              <w:ind w:left="40"/>
              <w:rPr>
                <w:sz w:val="21"/>
              </w:rPr>
            </w:pPr>
            <w:r>
              <w:rPr>
                <w:w w:val="105"/>
                <w:sz w:val="21"/>
              </w:rPr>
              <w:t>于大股东、董监高减持股份的规定。</w:t>
            </w:r>
          </w:p>
        </w:tc>
        <w:tc>
          <w:tcPr>
            <w:tcW w:w="7836" w:type="dxa"/>
            <w:vMerge/>
            <w:tcBorders>
              <w:top w:val="nil"/>
            </w:tcBorders>
          </w:tcPr>
          <w:p w14:paraId="064D84C4" w14:textId="77777777" w:rsidR="004634C9" w:rsidRDefault="004634C9">
            <w:pPr>
              <w:rPr>
                <w:sz w:val="2"/>
                <w:szCs w:val="2"/>
              </w:rPr>
            </w:pPr>
          </w:p>
        </w:tc>
      </w:tr>
      <w:tr w:rsidR="004634C9" w14:paraId="740B97A3" w14:textId="77777777">
        <w:trPr>
          <w:trHeight w:val="272"/>
        </w:trPr>
        <w:tc>
          <w:tcPr>
            <w:tcW w:w="1476" w:type="dxa"/>
            <w:tcBorders>
              <w:top w:val="nil"/>
              <w:bottom w:val="nil"/>
            </w:tcBorders>
          </w:tcPr>
          <w:p w14:paraId="603B6097" w14:textId="77777777" w:rsidR="004634C9" w:rsidRDefault="004634C9">
            <w:pPr>
              <w:pStyle w:val="TableParagraph"/>
              <w:rPr>
                <w:rFonts w:ascii="Times New Roman"/>
                <w:sz w:val="20"/>
              </w:rPr>
            </w:pPr>
          </w:p>
        </w:tc>
        <w:tc>
          <w:tcPr>
            <w:tcW w:w="7992" w:type="dxa"/>
            <w:tcBorders>
              <w:top w:val="nil"/>
              <w:bottom w:val="nil"/>
            </w:tcBorders>
          </w:tcPr>
          <w:p w14:paraId="60F56914" w14:textId="77777777" w:rsidR="004634C9" w:rsidRDefault="00000000">
            <w:pPr>
              <w:pStyle w:val="TableParagraph"/>
              <w:spacing w:line="253" w:lineRule="exact"/>
              <w:ind w:left="40"/>
              <w:rPr>
                <w:sz w:val="21"/>
              </w:rPr>
            </w:pPr>
            <w:r>
              <w:rPr>
                <w:sz w:val="21"/>
              </w:rPr>
              <w:t>（三）</w:t>
            </w:r>
            <w:r>
              <w:rPr>
                <w:rFonts w:ascii="Microsoft JhengHei" w:eastAsia="Microsoft JhengHei" w:hint="eastAsia"/>
                <w:b/>
                <w:color w:val="FF0000"/>
                <w:sz w:val="21"/>
              </w:rPr>
              <w:t>因赠与等方式</w:t>
            </w:r>
            <w:r>
              <w:rPr>
                <w:sz w:val="21"/>
              </w:rPr>
              <w:t>导致上市公司股东减持股份的，股份过出方、过入方应当遵守</w:t>
            </w:r>
          </w:p>
        </w:tc>
        <w:tc>
          <w:tcPr>
            <w:tcW w:w="7836" w:type="dxa"/>
            <w:vMerge/>
            <w:tcBorders>
              <w:top w:val="nil"/>
            </w:tcBorders>
          </w:tcPr>
          <w:p w14:paraId="41CD1781" w14:textId="77777777" w:rsidR="004634C9" w:rsidRDefault="004634C9">
            <w:pPr>
              <w:rPr>
                <w:sz w:val="2"/>
                <w:szCs w:val="2"/>
              </w:rPr>
            </w:pPr>
          </w:p>
        </w:tc>
      </w:tr>
      <w:tr w:rsidR="004634C9" w14:paraId="43868128" w14:textId="77777777">
        <w:trPr>
          <w:trHeight w:val="272"/>
        </w:trPr>
        <w:tc>
          <w:tcPr>
            <w:tcW w:w="1476" w:type="dxa"/>
            <w:tcBorders>
              <w:top w:val="nil"/>
              <w:bottom w:val="nil"/>
            </w:tcBorders>
          </w:tcPr>
          <w:p w14:paraId="7BC53801" w14:textId="77777777" w:rsidR="004634C9" w:rsidRDefault="004634C9">
            <w:pPr>
              <w:pStyle w:val="TableParagraph"/>
              <w:rPr>
                <w:rFonts w:ascii="Times New Roman"/>
                <w:sz w:val="20"/>
              </w:rPr>
            </w:pPr>
          </w:p>
        </w:tc>
        <w:tc>
          <w:tcPr>
            <w:tcW w:w="7992" w:type="dxa"/>
            <w:tcBorders>
              <w:top w:val="nil"/>
              <w:bottom w:val="nil"/>
            </w:tcBorders>
          </w:tcPr>
          <w:p w14:paraId="58027EDD" w14:textId="77777777" w:rsidR="004634C9" w:rsidRDefault="00000000">
            <w:pPr>
              <w:pStyle w:val="TableParagraph"/>
              <w:spacing w:before="4" w:line="249" w:lineRule="exact"/>
              <w:ind w:left="40"/>
              <w:rPr>
                <w:sz w:val="21"/>
              </w:rPr>
            </w:pPr>
            <w:r>
              <w:rPr>
                <w:w w:val="105"/>
                <w:sz w:val="21"/>
              </w:rPr>
              <w:t>有关规定。</w:t>
            </w:r>
          </w:p>
        </w:tc>
        <w:tc>
          <w:tcPr>
            <w:tcW w:w="7836" w:type="dxa"/>
            <w:vMerge/>
            <w:tcBorders>
              <w:top w:val="nil"/>
            </w:tcBorders>
          </w:tcPr>
          <w:p w14:paraId="72C9D1E7" w14:textId="77777777" w:rsidR="004634C9" w:rsidRDefault="004634C9">
            <w:pPr>
              <w:rPr>
                <w:sz w:val="2"/>
                <w:szCs w:val="2"/>
              </w:rPr>
            </w:pPr>
          </w:p>
        </w:tc>
      </w:tr>
      <w:tr w:rsidR="004634C9" w14:paraId="538E1856" w14:textId="77777777">
        <w:trPr>
          <w:trHeight w:val="272"/>
        </w:trPr>
        <w:tc>
          <w:tcPr>
            <w:tcW w:w="1476" w:type="dxa"/>
            <w:tcBorders>
              <w:top w:val="nil"/>
              <w:bottom w:val="nil"/>
            </w:tcBorders>
          </w:tcPr>
          <w:p w14:paraId="1A15A749" w14:textId="77777777" w:rsidR="004634C9" w:rsidRDefault="004634C9">
            <w:pPr>
              <w:pStyle w:val="TableParagraph"/>
              <w:rPr>
                <w:rFonts w:ascii="Times New Roman"/>
                <w:sz w:val="20"/>
              </w:rPr>
            </w:pPr>
          </w:p>
        </w:tc>
        <w:tc>
          <w:tcPr>
            <w:tcW w:w="7992" w:type="dxa"/>
            <w:tcBorders>
              <w:top w:val="nil"/>
              <w:bottom w:val="nil"/>
            </w:tcBorders>
          </w:tcPr>
          <w:p w14:paraId="4BBF677F" w14:textId="77777777" w:rsidR="004634C9" w:rsidRDefault="00000000">
            <w:pPr>
              <w:pStyle w:val="TableParagraph"/>
              <w:spacing w:line="253" w:lineRule="exact"/>
              <w:ind w:left="40"/>
              <w:rPr>
                <w:sz w:val="21"/>
              </w:rPr>
            </w:pPr>
            <w:r>
              <w:rPr>
                <w:sz w:val="21"/>
              </w:rPr>
              <w:t>（四）</w:t>
            </w:r>
            <w:r>
              <w:rPr>
                <w:rFonts w:ascii="Microsoft JhengHei" w:eastAsia="Microsoft JhengHei" w:hint="eastAsia"/>
                <w:b/>
                <w:color w:val="FF0000"/>
                <w:sz w:val="21"/>
              </w:rPr>
              <w:t>因司法强制执行、股票质押或者融资融券违约处置</w:t>
            </w:r>
            <w:r>
              <w:rPr>
                <w:sz w:val="21"/>
              </w:rPr>
              <w:t>等减持股份的，应当根</w:t>
            </w:r>
          </w:p>
        </w:tc>
        <w:tc>
          <w:tcPr>
            <w:tcW w:w="7836" w:type="dxa"/>
            <w:vMerge/>
            <w:tcBorders>
              <w:top w:val="nil"/>
            </w:tcBorders>
          </w:tcPr>
          <w:p w14:paraId="08F25406" w14:textId="77777777" w:rsidR="004634C9" w:rsidRDefault="004634C9">
            <w:pPr>
              <w:rPr>
                <w:sz w:val="2"/>
                <w:szCs w:val="2"/>
              </w:rPr>
            </w:pPr>
          </w:p>
        </w:tc>
      </w:tr>
      <w:tr w:rsidR="004634C9" w14:paraId="77AD61A7" w14:textId="77777777">
        <w:trPr>
          <w:trHeight w:val="980"/>
        </w:trPr>
        <w:tc>
          <w:tcPr>
            <w:tcW w:w="1476" w:type="dxa"/>
            <w:tcBorders>
              <w:top w:val="nil"/>
            </w:tcBorders>
          </w:tcPr>
          <w:p w14:paraId="0D4870E3" w14:textId="77777777" w:rsidR="004634C9" w:rsidRDefault="004634C9">
            <w:pPr>
              <w:pStyle w:val="TableParagraph"/>
              <w:rPr>
                <w:rFonts w:ascii="Times New Roman"/>
              </w:rPr>
            </w:pPr>
          </w:p>
        </w:tc>
        <w:tc>
          <w:tcPr>
            <w:tcW w:w="7992" w:type="dxa"/>
            <w:tcBorders>
              <w:top w:val="nil"/>
            </w:tcBorders>
          </w:tcPr>
          <w:p w14:paraId="2F1F7F8B" w14:textId="77777777" w:rsidR="004634C9" w:rsidRDefault="00000000">
            <w:pPr>
              <w:pStyle w:val="TableParagraph"/>
              <w:spacing w:before="4"/>
              <w:ind w:left="40"/>
              <w:rPr>
                <w:sz w:val="21"/>
              </w:rPr>
            </w:pPr>
            <w:r>
              <w:rPr>
                <w:w w:val="105"/>
                <w:sz w:val="21"/>
              </w:rPr>
              <w:t>据不同的减持方式分别适用相关规定。</w:t>
            </w:r>
          </w:p>
        </w:tc>
        <w:tc>
          <w:tcPr>
            <w:tcW w:w="7836" w:type="dxa"/>
            <w:vMerge/>
            <w:tcBorders>
              <w:top w:val="nil"/>
            </w:tcBorders>
          </w:tcPr>
          <w:p w14:paraId="666CD17C" w14:textId="77777777" w:rsidR="004634C9" w:rsidRDefault="004634C9">
            <w:pPr>
              <w:rPr>
                <w:sz w:val="2"/>
                <w:szCs w:val="2"/>
              </w:rPr>
            </w:pPr>
          </w:p>
        </w:tc>
      </w:tr>
    </w:tbl>
    <w:p w14:paraId="51883B2E" w14:textId="77777777" w:rsidR="004634C9" w:rsidRDefault="00000000">
      <w:pPr>
        <w:spacing w:before="112"/>
        <w:ind w:left="1126"/>
        <w:rPr>
          <w:sz w:val="28"/>
        </w:rPr>
      </w:pPr>
      <w:r>
        <w:rPr>
          <w:color w:val="7E7E7E"/>
          <w:sz w:val="28"/>
        </w:rPr>
        <w:t>资料来源：上交所，深交所，北交所，万联证券研究所</w:t>
      </w:r>
    </w:p>
    <w:p w14:paraId="725322C2" w14:textId="77777777" w:rsidR="004634C9" w:rsidRDefault="004634C9">
      <w:pPr>
        <w:rPr>
          <w:sz w:val="28"/>
        </w:rPr>
        <w:sectPr w:rsidR="004634C9">
          <w:headerReference w:type="default" r:id="rId37"/>
          <w:pgSz w:w="19200" w:h="10800" w:orient="landscape"/>
          <w:pgMar w:top="1200" w:right="0" w:bottom="280" w:left="0" w:header="523" w:footer="0" w:gutter="0"/>
          <w:cols w:space="720"/>
        </w:sectPr>
      </w:pPr>
    </w:p>
    <w:p w14:paraId="7A695E84" w14:textId="77777777" w:rsidR="004634C9" w:rsidRDefault="00000000">
      <w:pPr>
        <w:pStyle w:val="a3"/>
        <w:spacing w:before="15"/>
        <w:rPr>
          <w:sz w:val="10"/>
        </w:rPr>
      </w:pPr>
      <w:r>
        <w:lastRenderedPageBreak/>
        <w:pict w14:anchorId="2E178DD9">
          <v:group id="_x0000_s2164" style="position:absolute;margin-left:0;margin-top:162.25pt;width:960pt;height:107.4pt;z-index:251735040;mso-position-horizontal-relative:page;mso-position-vertical-relative:page" coordorigin=",3245" coordsize="19200,2148">
            <v:rect id="_x0000_s2166" style="position:absolute;top:3244;width:19200;height:2148" fillcolor="#c00000" stroked="f"/>
            <v:shape id="_x0000_s2165" type="#_x0000_t202" style="position:absolute;top:3244;width:19200;height:2148" filled="f" stroked="f">
              <v:textbox inset="0,0,0,0">
                <w:txbxContent>
                  <w:p w14:paraId="1FAEF6E5" w14:textId="77777777" w:rsidR="004634C9" w:rsidRDefault="00000000">
                    <w:pPr>
                      <w:spacing w:before="261"/>
                      <w:ind w:left="864"/>
                      <w:rPr>
                        <w:b/>
                        <w:i/>
                        <w:sz w:val="80"/>
                      </w:rPr>
                    </w:pPr>
                    <w:bookmarkStart w:id="20" w:name="幻灯片_21:_4.分红：沪深交易所强约束，北交所鼓励但不强制"/>
                    <w:bookmarkEnd w:id="20"/>
                    <w:r>
                      <w:rPr>
                        <w:b/>
                        <w:color w:val="FFFFFF"/>
                        <w:sz w:val="80"/>
                      </w:rPr>
                      <w:t>4.</w:t>
                    </w:r>
                    <w:r>
                      <w:rPr>
                        <w:b/>
                        <w:i/>
                        <w:color w:val="FFFFFF"/>
                        <w:sz w:val="80"/>
                      </w:rPr>
                      <w:t>分红：沪深交易所强约束，北交所鼓励但不强制</w:t>
                    </w:r>
                  </w:p>
                </w:txbxContent>
              </v:textbox>
            </v:shape>
            <w10:wrap anchorx="page" anchory="page"/>
          </v:group>
        </w:pict>
      </w:r>
    </w:p>
    <w:p w14:paraId="375BD97A" w14:textId="77777777" w:rsidR="004634C9" w:rsidRDefault="004634C9">
      <w:pPr>
        <w:rPr>
          <w:sz w:val="10"/>
        </w:rPr>
        <w:sectPr w:rsidR="004634C9">
          <w:pgSz w:w="19200" w:h="10800" w:orient="landscape"/>
          <w:pgMar w:top="1200" w:right="0" w:bottom="280" w:left="0" w:header="523" w:footer="0" w:gutter="0"/>
          <w:cols w:space="720"/>
        </w:sectPr>
      </w:pPr>
    </w:p>
    <w:p w14:paraId="59B2E9F9" w14:textId="77777777" w:rsidR="004634C9" w:rsidRDefault="00000000">
      <w:pPr>
        <w:pStyle w:val="a3"/>
        <w:spacing w:before="11"/>
        <w:rPr>
          <w:sz w:val="11"/>
        </w:rPr>
      </w:pPr>
      <w:r>
        <w:lastRenderedPageBreak/>
        <w:pict w14:anchorId="58A98BE8">
          <v:shape id="_x0000_s2163" style="position:absolute;margin-left:90.7pt;margin-top:33.9pt;width:24.2pt;height:14.4pt;z-index:251737088;mso-position-horizontal-relative:page;mso-position-vertical-relative:page" coordorigin="1814,678" coordsize="484,288" o:spt="100" adj="0,,0" path="m1985,908r-53,l1932,966r53,l1985,908xm1985,678r-46,l1814,860r,48l2020,908r,-48l1866,860r66,-98l1985,762r,-84xm1985,762r-53,l1932,860r53,l1985,762xm2114,911r-55,l2059,966r55,l2114,911xm2298,759r-55,l2243,966r55,l2298,759xm2298,678r-45,l2248,691r-8,12l2230,714r-11,10l2206,733r-12,8l2183,746r-11,5l2172,801r20,-8l2210,783r17,-11l2243,759r55,l2298,678xe" fillcolor="#0d0d0d" stroked="f">
            <v:stroke joinstyle="round"/>
            <v:formulas/>
            <v:path arrowok="t" o:connecttype="segments"/>
            <w10:wrap anchorx="page" anchory="page"/>
          </v:shape>
        </w:pict>
      </w:r>
      <w:r>
        <w:rPr>
          <w:noProof/>
        </w:rPr>
        <w:drawing>
          <wp:anchor distT="0" distB="0" distL="0" distR="0" simplePos="0" relativeHeight="251738112" behindDoc="0" locked="0" layoutInCell="1" allowOverlap="1" wp14:anchorId="7B692775" wp14:editId="0C1BAE17">
            <wp:simplePos x="0" y="0"/>
            <wp:positionH relativeFrom="page">
              <wp:posOffset>1572894</wp:posOffset>
            </wp:positionH>
            <wp:positionV relativeFrom="page">
              <wp:posOffset>400177</wp:posOffset>
            </wp:positionV>
            <wp:extent cx="4059428" cy="250571"/>
            <wp:effectExtent l="0" t="0" r="0" b="0"/>
            <wp:wrapNone/>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38" cstate="print"/>
                    <a:stretch>
                      <a:fillRect/>
                    </a:stretch>
                  </pic:blipFill>
                  <pic:spPr>
                    <a:xfrm>
                      <a:off x="0" y="0"/>
                      <a:ext cx="4059428" cy="250571"/>
                    </a:xfrm>
                    <a:prstGeom prst="rect">
                      <a:avLst/>
                    </a:prstGeom>
                  </pic:spPr>
                </pic:pic>
              </a:graphicData>
            </a:graphic>
          </wp:anchor>
        </w:drawing>
      </w:r>
    </w:p>
    <w:p w14:paraId="3FC6C854" w14:textId="77777777" w:rsidR="004634C9" w:rsidRDefault="00000000">
      <w:pPr>
        <w:pStyle w:val="a4"/>
        <w:numPr>
          <w:ilvl w:val="0"/>
          <w:numId w:val="7"/>
        </w:numPr>
        <w:tabs>
          <w:tab w:val="left" w:pos="1256"/>
        </w:tabs>
        <w:spacing w:before="16"/>
        <w:ind w:left="1255" w:hanging="317"/>
        <w:rPr>
          <w:sz w:val="32"/>
        </w:rPr>
      </w:pPr>
      <w:bookmarkStart w:id="21" w:name="幻灯片_22"/>
      <w:bookmarkEnd w:id="21"/>
      <w:r>
        <w:rPr>
          <w:b/>
          <w:i/>
          <w:sz w:val="32"/>
        </w:rPr>
        <w:t>沪深交易所对分红不积极公司进行限制</w:t>
      </w:r>
      <w:r>
        <w:rPr>
          <w:sz w:val="32"/>
        </w:rPr>
        <w:t>：将现金分红指标纳入</w:t>
      </w:r>
      <w:r>
        <w:rPr>
          <w:rFonts w:ascii="Arial" w:eastAsia="Arial" w:hAnsi="Arial"/>
          <w:sz w:val="32"/>
        </w:rPr>
        <w:t>ST</w:t>
      </w:r>
      <w:r>
        <w:rPr>
          <w:sz w:val="32"/>
        </w:rPr>
        <w:t>风险警示情形，对于有分红能力但不愿意分红的公司实施</w:t>
      </w:r>
    </w:p>
    <w:p w14:paraId="4800144F" w14:textId="77777777" w:rsidR="004634C9" w:rsidRDefault="00000000">
      <w:pPr>
        <w:pStyle w:val="a3"/>
        <w:spacing w:line="538" w:lineRule="exact"/>
        <w:ind w:left="1211"/>
      </w:pPr>
      <w:r>
        <w:t>其他风险警示（双创高研发公司除外）。</w:t>
      </w:r>
    </w:p>
    <w:p w14:paraId="4617F3B7" w14:textId="77777777" w:rsidR="004634C9" w:rsidRDefault="00000000">
      <w:pPr>
        <w:pStyle w:val="4"/>
        <w:numPr>
          <w:ilvl w:val="0"/>
          <w:numId w:val="7"/>
        </w:numPr>
        <w:tabs>
          <w:tab w:val="left" w:pos="1256"/>
        </w:tabs>
        <w:spacing w:line="538" w:lineRule="exact"/>
        <w:ind w:left="1255" w:hanging="317"/>
      </w:pPr>
      <w:r>
        <w:t>北交所不强制分红：对中期分红的实施要求进行简化、同时明确分红基准。</w:t>
      </w:r>
    </w:p>
    <w:p w14:paraId="1FED853B" w14:textId="77777777" w:rsidR="004634C9" w:rsidRDefault="00000000">
      <w:pPr>
        <w:pStyle w:val="a4"/>
        <w:numPr>
          <w:ilvl w:val="0"/>
          <w:numId w:val="7"/>
        </w:numPr>
        <w:tabs>
          <w:tab w:val="left" w:pos="1256"/>
        </w:tabs>
        <w:ind w:left="1255" w:hanging="317"/>
        <w:rPr>
          <w:b/>
          <w:i/>
          <w:sz w:val="32"/>
        </w:rPr>
      </w:pPr>
      <w:r>
        <w:rPr>
          <w:b/>
          <w:i/>
          <w:sz w:val="32"/>
        </w:rPr>
        <w:t>对比沪深交易所，考虑到北交所的板块定位，北交所鼓励上市公司多分红，但未对分红不积极公司进行限制。</w:t>
      </w:r>
    </w:p>
    <w:p w14:paraId="761CE26D" w14:textId="77777777" w:rsidR="004634C9" w:rsidRDefault="004634C9">
      <w:pPr>
        <w:pStyle w:val="a3"/>
        <w:rPr>
          <w:b/>
          <w:i/>
          <w:sz w:val="20"/>
        </w:rPr>
      </w:pPr>
    </w:p>
    <w:p w14:paraId="4D276011" w14:textId="701388D2" w:rsidR="004634C9" w:rsidRDefault="004634C9">
      <w:pPr>
        <w:pStyle w:val="a3"/>
        <w:rPr>
          <w:b/>
          <w:i/>
          <w:sz w:val="28"/>
        </w:rPr>
      </w:pPr>
    </w:p>
    <w:p w14:paraId="7A9D3860" w14:textId="4815157B" w:rsidR="004634C9" w:rsidRDefault="004634BE">
      <w:pPr>
        <w:spacing w:before="16"/>
        <w:ind w:left="5509" w:right="5331"/>
        <w:jc w:val="center"/>
        <w:rPr>
          <w:b/>
          <w:i/>
          <w:color w:val="BE1B1B"/>
          <w:sz w:val="32"/>
          <w:lang w:eastAsia="zh-CN"/>
        </w:rPr>
      </w:pPr>
      <w:r w:rsidRPr="004634BE">
        <w:rPr>
          <w:b/>
          <w:i/>
          <w:sz w:val="32"/>
          <w:lang w:eastAsia="zh-CN"/>
        </w:rPr>
        <w:drawing>
          <wp:anchor distT="0" distB="0" distL="114300" distR="114300" simplePos="0" relativeHeight="251657216" behindDoc="0" locked="0" layoutInCell="1" allowOverlap="1" wp14:anchorId="385A1C51" wp14:editId="640A6B11">
            <wp:simplePos x="0" y="0"/>
            <wp:positionH relativeFrom="column">
              <wp:posOffset>976312</wp:posOffset>
            </wp:positionH>
            <wp:positionV relativeFrom="paragraph">
              <wp:posOffset>436245</wp:posOffset>
            </wp:positionV>
            <wp:extent cx="10234613" cy="2049760"/>
            <wp:effectExtent l="0" t="0" r="0" b="0"/>
            <wp:wrapTopAndBottom/>
            <wp:docPr id="1836822513" name="图片 4">
              <a:extLst xmlns:a="http://schemas.openxmlformats.org/drawingml/2006/main">
                <a:ext uri="{FF2B5EF4-FFF2-40B4-BE49-F238E27FC236}">
                  <a16:creationId xmlns:a16="http://schemas.microsoft.com/office/drawing/2014/main" id="{CEB60386-39A3-DFAE-BC97-F5DBB2B98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B60386-39A3-DFAE-BC97-F5DBB2B982D0}"/>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34613" cy="2049760"/>
                    </a:xfrm>
                    <a:prstGeom prst="rect">
                      <a:avLst/>
                    </a:prstGeom>
                    <a:noFill/>
                  </pic:spPr>
                </pic:pic>
              </a:graphicData>
            </a:graphic>
          </wp:anchor>
        </w:drawing>
      </w:r>
      <w:r w:rsidR="00000000">
        <w:rPr>
          <w:b/>
          <w:i/>
          <w:color w:val="BE1B1B"/>
          <w:sz w:val="32"/>
        </w:rPr>
        <w:t>北交所与科创板、创业板、主板引导上市公司分红手段对比</w:t>
      </w:r>
    </w:p>
    <w:p w14:paraId="19B6646E" w14:textId="7B0D4B77" w:rsidR="00252974" w:rsidRDefault="00252974" w:rsidP="004634BE">
      <w:pPr>
        <w:spacing w:before="16"/>
        <w:ind w:right="5331"/>
        <w:jc w:val="center"/>
        <w:rPr>
          <w:rFonts w:hint="eastAsia"/>
          <w:b/>
          <w:i/>
          <w:sz w:val="32"/>
          <w:lang w:eastAsia="zh-CN"/>
        </w:rPr>
      </w:pPr>
    </w:p>
    <w:p w14:paraId="2D17F5E1" w14:textId="77777777" w:rsidR="004634C9" w:rsidRDefault="00000000">
      <w:pPr>
        <w:spacing w:before="50"/>
        <w:ind w:left="446"/>
        <w:rPr>
          <w:sz w:val="28"/>
        </w:rPr>
      </w:pPr>
      <w:r>
        <w:rPr>
          <w:color w:val="7E7E7E"/>
          <w:sz w:val="28"/>
        </w:rPr>
        <w:t>资料来源：上交所，深交所，北交所，万联证券研究所</w:t>
      </w:r>
    </w:p>
    <w:p w14:paraId="0B409714" w14:textId="77777777" w:rsidR="004634C9" w:rsidRDefault="004634C9">
      <w:pPr>
        <w:rPr>
          <w:sz w:val="28"/>
        </w:rPr>
        <w:sectPr w:rsidR="004634C9">
          <w:pgSz w:w="19200" w:h="10800" w:orient="landscape"/>
          <w:pgMar w:top="1200" w:right="0" w:bottom="280" w:left="0" w:header="523" w:footer="0" w:gutter="0"/>
          <w:cols w:space="720"/>
        </w:sectPr>
      </w:pPr>
    </w:p>
    <w:p w14:paraId="47F081AE" w14:textId="77777777" w:rsidR="004634C9" w:rsidRDefault="00000000">
      <w:pPr>
        <w:pStyle w:val="a3"/>
        <w:spacing w:before="11"/>
        <w:rPr>
          <w:sz w:val="11"/>
        </w:rPr>
      </w:pPr>
      <w:r>
        <w:rPr>
          <w:noProof/>
        </w:rPr>
        <w:lastRenderedPageBreak/>
        <w:drawing>
          <wp:anchor distT="0" distB="0" distL="0" distR="0" simplePos="0" relativeHeight="251740160" behindDoc="0" locked="0" layoutInCell="1" allowOverlap="1" wp14:anchorId="0040BFCC" wp14:editId="4F0AA596">
            <wp:simplePos x="0" y="0"/>
            <wp:positionH relativeFrom="page">
              <wp:posOffset>9552431</wp:posOffset>
            </wp:positionH>
            <wp:positionV relativeFrom="page">
              <wp:posOffset>332231</wp:posOffset>
            </wp:positionV>
            <wp:extent cx="2231135" cy="438911"/>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667F5956">
          <v:group id="_x0000_s2155" style="position:absolute;margin-left:31.2pt;margin-top:26.15pt;width:52.95pt;height:28.45pt;z-index:251741184;mso-position-horizontal-relative:page;mso-position-vertical-relative:page" coordorigin="624,523" coordsize="1059,569">
            <v:shape id="_x0000_s2157" style="position:absolute;left:624;top:535;width:586;height:557" coordorigin="624,535" coordsize="586,557" path="m931,535r-307,l902,814,624,1092r307,l1210,814,931,535xe" fillcolor="#be1b1b" stroked="f">
              <v:path arrowok="t"/>
            </v:shape>
            <v:shape id="_x0000_s2156" style="position:absolute;left:1096;top:523;width:586;height:557" coordorigin="1097,523" coordsize="586,557" path="m1404,523r-307,l1375,802r-278,278l1404,1080,1682,802,1404,523xe" fillcolor="#d9d9d9" stroked="f">
              <v:path arrowok="t"/>
            </v:shape>
            <w10:wrap anchorx="page" anchory="page"/>
          </v:group>
        </w:pict>
      </w:r>
      <w:r>
        <w:pict w14:anchorId="3E932B68">
          <v:shape id="_x0000_s2154" style="position:absolute;margin-left:90.7pt;margin-top:33.9pt;width:26.45pt;height:14.4pt;z-index:251742208;mso-position-horizontal-relative:page;mso-position-vertical-relative:page" coordorigin="1814,678" coordsize="529,288" o:spt="100" adj="0,,0" path="m1985,908r-53,l1932,966r53,l1985,908xm1985,678r-46,l1814,860r,48l2020,908r,-48l1866,860r66,-98l1985,762r,-84xm1985,762r-53,l1932,860r53,l1985,762xm2114,911r-55,l2059,966r55,l2114,911xm2335,724r-73,l2271,727r14,13l2288,750r,23l2284,784r-7,12l2271,803r-10,10l2248,827r-17,16l2210,863r-18,18l2179,897r-10,14l2162,925r-5,13l2153,952r-3,14l2343,966r,-51l2234,915r3,-5l2241,905r4,-5l2250,895r7,-7l2266,879r12,-11l2290,857r10,-10l2308,839r6,-7l2321,822r6,-9l2332,804r4,-9l2341,783r2,-12l2343,758r-1,-16l2337,727r-2,-3xm2252,678r-18,1l2217,683r-16,6l2188,698r-12,11l2167,724r-6,18l2157,763r55,6l2213,753r4,-12l2223,734r7,-7l2239,724r96,l2329,713r-10,-12l2306,691r-16,-7l2272,680r-20,-2xe" fillcolor="#0d0d0d" stroked="f">
            <v:stroke joinstyle="round"/>
            <v:formulas/>
            <v:path arrowok="t" o:connecttype="segments"/>
            <w10:wrap anchorx="page" anchory="page"/>
          </v:shape>
        </w:pict>
      </w:r>
      <w:r>
        <w:rPr>
          <w:noProof/>
        </w:rPr>
        <w:drawing>
          <wp:anchor distT="0" distB="0" distL="0" distR="0" simplePos="0" relativeHeight="251743232" behindDoc="0" locked="0" layoutInCell="1" allowOverlap="1" wp14:anchorId="2EF51597" wp14:editId="0B4A0F69">
            <wp:simplePos x="0" y="0"/>
            <wp:positionH relativeFrom="page">
              <wp:posOffset>1572641</wp:posOffset>
            </wp:positionH>
            <wp:positionV relativeFrom="page">
              <wp:posOffset>400177</wp:posOffset>
            </wp:positionV>
            <wp:extent cx="4642739" cy="249300"/>
            <wp:effectExtent l="0" t="0" r="0" b="0"/>
            <wp:wrapNone/>
            <wp:docPr id="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pic:nvPicPr>
                  <pic:blipFill>
                    <a:blip r:embed="rId40" cstate="print"/>
                    <a:stretch>
                      <a:fillRect/>
                    </a:stretch>
                  </pic:blipFill>
                  <pic:spPr>
                    <a:xfrm>
                      <a:off x="0" y="0"/>
                      <a:ext cx="4642739" cy="249300"/>
                    </a:xfrm>
                    <a:prstGeom prst="rect">
                      <a:avLst/>
                    </a:prstGeom>
                  </pic:spPr>
                </pic:pic>
              </a:graphicData>
            </a:graphic>
          </wp:anchor>
        </w:drawing>
      </w:r>
    </w:p>
    <w:p w14:paraId="70ABB884" w14:textId="77777777" w:rsidR="004634C9" w:rsidRDefault="00000000">
      <w:pPr>
        <w:pStyle w:val="a4"/>
        <w:numPr>
          <w:ilvl w:val="0"/>
          <w:numId w:val="7"/>
        </w:numPr>
        <w:tabs>
          <w:tab w:val="left" w:pos="1256"/>
        </w:tabs>
        <w:spacing w:before="16"/>
        <w:ind w:left="1255" w:hanging="317"/>
        <w:rPr>
          <w:sz w:val="32"/>
        </w:rPr>
      </w:pPr>
      <w:bookmarkStart w:id="22" w:name="幻灯片_23"/>
      <w:bookmarkEnd w:id="22"/>
      <w:r>
        <w:rPr>
          <w:b/>
          <w:i/>
          <w:sz w:val="32"/>
        </w:rPr>
        <w:t>沪深交易所通过新增分红</w:t>
      </w:r>
      <w:r>
        <w:rPr>
          <w:rFonts w:ascii="Arial" w:eastAsia="Arial" w:hAnsi="Arial"/>
          <w:b/>
          <w:sz w:val="32"/>
        </w:rPr>
        <w:t>ST</w:t>
      </w:r>
      <w:r>
        <w:rPr>
          <w:b/>
          <w:i/>
          <w:sz w:val="32"/>
        </w:rPr>
        <w:t>情形对分红不积极公司进行限制。</w:t>
      </w:r>
      <w:r>
        <w:rPr>
          <w:sz w:val="32"/>
        </w:rPr>
        <w:t>本次新规科创板新增“其他风险警示”（</w:t>
      </w:r>
      <w:r>
        <w:rPr>
          <w:rFonts w:ascii="Arial" w:eastAsia="Arial" w:hAnsi="Arial"/>
          <w:sz w:val="32"/>
        </w:rPr>
        <w:t>ST</w:t>
      </w:r>
      <w:r>
        <w:rPr>
          <w:sz w:val="32"/>
        </w:rPr>
        <w:t>情形）相关规则，</w:t>
      </w:r>
    </w:p>
    <w:p w14:paraId="06D284A9" w14:textId="77777777" w:rsidR="004634C9" w:rsidRDefault="00000000">
      <w:pPr>
        <w:pStyle w:val="a3"/>
        <w:spacing w:line="538" w:lineRule="exact"/>
        <w:ind w:left="1211"/>
      </w:pPr>
      <w:r>
        <w:t>与主板和创业板统一，北交所暂无相关规则。</w:t>
      </w:r>
    </w:p>
    <w:p w14:paraId="5537FFAA" w14:textId="77777777" w:rsidR="004634C9" w:rsidRDefault="00000000">
      <w:pPr>
        <w:pStyle w:val="a4"/>
        <w:numPr>
          <w:ilvl w:val="0"/>
          <w:numId w:val="7"/>
        </w:numPr>
        <w:tabs>
          <w:tab w:val="left" w:pos="1256"/>
        </w:tabs>
        <w:spacing w:before="12" w:line="218" w:lineRule="auto"/>
        <w:ind w:right="784" w:hanging="272"/>
        <w:rPr>
          <w:sz w:val="32"/>
        </w:rPr>
      </w:pPr>
      <w:r>
        <w:rPr>
          <w:rFonts w:ascii="Arial" w:eastAsia="Arial" w:hAnsi="Arial"/>
          <w:b/>
          <w:w w:val="95"/>
          <w:sz w:val="32"/>
        </w:rPr>
        <w:t>ST</w:t>
      </w:r>
      <w:r>
        <w:rPr>
          <w:b/>
          <w:i/>
          <w:w w:val="95"/>
          <w:sz w:val="32"/>
        </w:rPr>
        <w:t>新规则有两大变化：</w:t>
      </w:r>
      <w:r>
        <w:rPr>
          <w:rFonts w:ascii="Arial" w:eastAsia="Arial" w:hAnsi="Arial"/>
          <w:b/>
          <w:w w:val="95"/>
          <w:sz w:val="32"/>
        </w:rPr>
        <w:t>1</w:t>
      </w:r>
      <w:r>
        <w:rPr>
          <w:b/>
          <w:i/>
          <w:w w:val="95"/>
          <w:sz w:val="32"/>
        </w:rPr>
        <w:t>、新增分红</w:t>
      </w:r>
      <w:r>
        <w:rPr>
          <w:rFonts w:ascii="Arial" w:eastAsia="Arial" w:hAnsi="Arial"/>
          <w:b/>
          <w:w w:val="95"/>
          <w:sz w:val="32"/>
        </w:rPr>
        <w:t>ST</w:t>
      </w:r>
      <w:r>
        <w:rPr>
          <w:b/>
          <w:i/>
          <w:w w:val="95"/>
          <w:sz w:val="32"/>
        </w:rPr>
        <w:t>情形</w:t>
      </w:r>
      <w:r>
        <w:rPr>
          <w:w w:val="95"/>
          <w:sz w:val="32"/>
        </w:rPr>
        <w:t>，持续引导上市公司增强投资者回报水平；</w:t>
      </w:r>
      <w:r>
        <w:rPr>
          <w:rFonts w:ascii="Arial" w:eastAsia="Arial" w:hAnsi="Arial"/>
          <w:b/>
          <w:w w:val="95"/>
          <w:sz w:val="32"/>
        </w:rPr>
        <w:t>2</w:t>
      </w:r>
      <w:r>
        <w:rPr>
          <w:b/>
          <w:i/>
          <w:w w:val="95"/>
          <w:sz w:val="32"/>
        </w:rPr>
        <w:t xml:space="preserve">、对财务造假但未触及重大违法情      </w:t>
      </w:r>
      <w:r>
        <w:rPr>
          <w:b/>
          <w:i/>
          <w:sz w:val="32"/>
        </w:rPr>
        <w:t>形的公司实施</w:t>
      </w:r>
      <w:r>
        <w:rPr>
          <w:rFonts w:ascii="Arial" w:eastAsia="Arial" w:hAnsi="Arial"/>
          <w:b/>
          <w:sz w:val="32"/>
        </w:rPr>
        <w:t>ST</w:t>
      </w:r>
      <w:r>
        <w:rPr>
          <w:sz w:val="32"/>
        </w:rPr>
        <w:t>，相当于对财务造假零容忍，发现财务造假即有相关惩罚规则。</w:t>
      </w:r>
    </w:p>
    <w:p w14:paraId="60580668" w14:textId="77777777" w:rsidR="004634C9" w:rsidRDefault="004634C9">
      <w:pPr>
        <w:pStyle w:val="a3"/>
        <w:spacing w:before="4"/>
        <w:rPr>
          <w:sz w:val="14"/>
        </w:rPr>
      </w:pPr>
    </w:p>
    <w:p w14:paraId="2BFAA1F8" w14:textId="77777777" w:rsidR="004634C9" w:rsidRDefault="00000000">
      <w:pPr>
        <w:pStyle w:val="4"/>
        <w:spacing w:before="15"/>
        <w:ind w:right="5325"/>
        <w:jc w:val="center"/>
      </w:pPr>
      <w:r>
        <w:rPr>
          <w:noProof/>
        </w:rPr>
        <w:drawing>
          <wp:anchor distT="0" distB="0" distL="0" distR="0" simplePos="0" relativeHeight="249970688" behindDoc="1" locked="0" layoutInCell="1" allowOverlap="1" wp14:anchorId="333DE28C" wp14:editId="6828DF90">
            <wp:simplePos x="0" y="0"/>
            <wp:positionH relativeFrom="page">
              <wp:posOffset>597408</wp:posOffset>
            </wp:positionH>
            <wp:positionV relativeFrom="paragraph">
              <wp:posOffset>325592</wp:posOffset>
            </wp:positionV>
            <wp:extent cx="10997183" cy="3419855"/>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41" cstate="print"/>
                    <a:stretch>
                      <a:fillRect/>
                    </a:stretch>
                  </pic:blipFill>
                  <pic:spPr>
                    <a:xfrm>
                      <a:off x="0" y="0"/>
                      <a:ext cx="10997183" cy="3419855"/>
                    </a:xfrm>
                    <a:prstGeom prst="rect">
                      <a:avLst/>
                    </a:prstGeom>
                  </pic:spPr>
                </pic:pic>
              </a:graphicData>
            </a:graphic>
          </wp:anchor>
        </w:drawing>
      </w:r>
      <w:r>
        <w:rPr>
          <w:color w:val="BE1B1B"/>
        </w:rPr>
        <w:t>沪深交易所其他风险警示相关规则</w:t>
      </w:r>
    </w:p>
    <w:p w14:paraId="492466EF" w14:textId="77777777" w:rsidR="004634C9" w:rsidRDefault="004634C9">
      <w:pPr>
        <w:pStyle w:val="a3"/>
        <w:rPr>
          <w:b/>
          <w:i/>
          <w:sz w:val="42"/>
        </w:rPr>
      </w:pPr>
    </w:p>
    <w:p w14:paraId="148DAF60" w14:textId="77777777" w:rsidR="004634C9" w:rsidRDefault="004634C9">
      <w:pPr>
        <w:pStyle w:val="a3"/>
        <w:rPr>
          <w:b/>
          <w:i/>
          <w:sz w:val="42"/>
        </w:rPr>
      </w:pPr>
    </w:p>
    <w:p w14:paraId="1A8DB378" w14:textId="77777777" w:rsidR="004634C9" w:rsidRDefault="004634C9">
      <w:pPr>
        <w:pStyle w:val="a3"/>
        <w:rPr>
          <w:b/>
          <w:i/>
          <w:sz w:val="42"/>
        </w:rPr>
      </w:pPr>
    </w:p>
    <w:p w14:paraId="492AC1E8" w14:textId="77777777" w:rsidR="004634C9" w:rsidRDefault="004634C9">
      <w:pPr>
        <w:pStyle w:val="a3"/>
        <w:rPr>
          <w:b/>
          <w:i/>
          <w:sz w:val="42"/>
        </w:rPr>
      </w:pPr>
    </w:p>
    <w:p w14:paraId="085DCDC8" w14:textId="77777777" w:rsidR="004634C9" w:rsidRDefault="004634C9">
      <w:pPr>
        <w:pStyle w:val="a3"/>
        <w:rPr>
          <w:b/>
          <w:i/>
          <w:sz w:val="42"/>
        </w:rPr>
      </w:pPr>
    </w:p>
    <w:p w14:paraId="11AC25BC" w14:textId="77777777" w:rsidR="004634C9" w:rsidRDefault="004634C9">
      <w:pPr>
        <w:pStyle w:val="a3"/>
        <w:rPr>
          <w:b/>
          <w:i/>
          <w:sz w:val="42"/>
        </w:rPr>
      </w:pPr>
    </w:p>
    <w:p w14:paraId="143059FE" w14:textId="77777777" w:rsidR="004634C9" w:rsidRDefault="004634C9">
      <w:pPr>
        <w:pStyle w:val="a3"/>
        <w:spacing w:before="9"/>
        <w:rPr>
          <w:b/>
          <w:i/>
          <w:sz w:val="35"/>
        </w:rPr>
      </w:pPr>
    </w:p>
    <w:p w14:paraId="31CE13DB" w14:textId="77777777" w:rsidR="006845C7" w:rsidRDefault="006845C7">
      <w:pPr>
        <w:ind w:left="1083"/>
        <w:rPr>
          <w:color w:val="7E7E7E"/>
          <w:sz w:val="28"/>
          <w:lang w:eastAsia="zh-CN"/>
        </w:rPr>
      </w:pPr>
    </w:p>
    <w:p w14:paraId="1DF91DB2" w14:textId="24AD9230" w:rsidR="004634C9" w:rsidRDefault="00000000">
      <w:pPr>
        <w:ind w:left="1083"/>
        <w:rPr>
          <w:sz w:val="28"/>
        </w:rPr>
      </w:pPr>
      <w:r>
        <w:rPr>
          <w:color w:val="7E7E7E"/>
          <w:sz w:val="28"/>
        </w:rPr>
        <w:t>资料来源：上交所，深交所，北交所，万联证券研究所</w:t>
      </w:r>
    </w:p>
    <w:p w14:paraId="78F506E2" w14:textId="77777777" w:rsidR="004634C9" w:rsidRDefault="004634C9">
      <w:pPr>
        <w:rPr>
          <w:sz w:val="28"/>
        </w:rPr>
        <w:sectPr w:rsidR="004634C9">
          <w:headerReference w:type="default" r:id="rId42"/>
          <w:pgSz w:w="19200" w:h="10800" w:orient="landscape"/>
          <w:pgMar w:top="1200" w:right="0" w:bottom="280" w:left="0" w:header="523" w:footer="0" w:gutter="0"/>
          <w:cols w:space="720"/>
        </w:sectPr>
      </w:pPr>
    </w:p>
    <w:p w14:paraId="6B160868" w14:textId="77777777" w:rsidR="004634C9" w:rsidRDefault="00000000">
      <w:pPr>
        <w:pStyle w:val="a3"/>
        <w:spacing w:before="11"/>
        <w:rPr>
          <w:sz w:val="11"/>
        </w:rPr>
      </w:pPr>
      <w:r>
        <w:lastRenderedPageBreak/>
        <w:pict w14:anchorId="031574D4">
          <v:shape id="_x0000_s2153" style="position:absolute;margin-left:90.7pt;margin-top:33.9pt;width:26.6pt;height:14.65pt;z-index:251770880;mso-position-horizontal-relative:page;mso-position-vertical-relative:page" coordorigin="1814,678" coordsize="532,293" o:spt="100" adj="0,,0" path="m1985,908r-53,l1932,966r53,l1985,908xm1985,678r-46,l1814,860r,48l2020,908r,-48l1866,860r66,-98l1985,762r,-84xm1985,762r-53,l1932,860r53,l1985,762xm2114,911r-55,l2059,966r55,l2114,911xm2209,884r-54,6l2159,907r6,16l2174,937r11,12l2199,959r15,7l2231,970r19,1l2269,970r18,-6l2304,956r14,-12l2330,930r3,-4l2239,926r-9,-4l2215,908r-5,-11l2209,884xm2329,833r-67,l2271,837r8,8l2286,853r4,11l2290,892r-4,12l2270,921r-9,5l2333,926r6,-11l2344,898r2,-18l2345,868r-3,-12l2338,845r-7,-9l2329,833xm2326,723r-70,l2264,726r5,6l2275,738r3,7l2278,766r-4,10l2258,789r-11,3l2232,792r-6,45l2236,834r8,-1l2329,833r-6,-6l2314,821r-11,-6l2292,812r18,-12l2317,792r-70,l2232,792r85,l2323,786r8,-16l2333,752r-1,-13l2328,727r,-1l2326,723xm2248,678r-12,1l2225,680r-10,3l2205,687r-12,6l2183,701r-7,11l2171,720r-5,10l2163,741r-3,12l2210,762r2,-13l2216,740r6,-7l2229,727r8,-4l2326,723r-4,-8l2313,704r-13,-11l2284,685r-17,-5l2248,678xe" fillcolor="#0d0d0d" stroked="f">
            <v:stroke joinstyle="round"/>
            <v:formulas/>
            <v:path arrowok="t" o:connecttype="segments"/>
            <w10:wrap anchorx="page" anchory="page"/>
          </v:shape>
        </w:pict>
      </w:r>
      <w:r>
        <w:rPr>
          <w:noProof/>
        </w:rPr>
        <w:drawing>
          <wp:anchor distT="0" distB="0" distL="0" distR="0" simplePos="0" relativeHeight="251771904" behindDoc="0" locked="0" layoutInCell="1" allowOverlap="1" wp14:anchorId="692F9080" wp14:editId="60C77423">
            <wp:simplePos x="0" y="0"/>
            <wp:positionH relativeFrom="page">
              <wp:posOffset>1573149</wp:posOffset>
            </wp:positionH>
            <wp:positionV relativeFrom="page">
              <wp:posOffset>400177</wp:posOffset>
            </wp:positionV>
            <wp:extent cx="4061460" cy="248031"/>
            <wp:effectExtent l="0" t="0" r="0" b="0"/>
            <wp:wrapNone/>
            <wp:docPr id="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png"/>
                    <pic:cNvPicPr/>
                  </pic:nvPicPr>
                  <pic:blipFill>
                    <a:blip r:embed="rId43" cstate="print"/>
                    <a:stretch>
                      <a:fillRect/>
                    </a:stretch>
                  </pic:blipFill>
                  <pic:spPr>
                    <a:xfrm>
                      <a:off x="0" y="0"/>
                      <a:ext cx="4061460" cy="248031"/>
                    </a:xfrm>
                    <a:prstGeom prst="rect">
                      <a:avLst/>
                    </a:prstGeom>
                  </pic:spPr>
                </pic:pic>
              </a:graphicData>
            </a:graphic>
          </wp:anchor>
        </w:drawing>
      </w:r>
    </w:p>
    <w:p w14:paraId="474D64CF" w14:textId="77777777" w:rsidR="004634C9" w:rsidRDefault="00000000">
      <w:pPr>
        <w:pStyle w:val="a4"/>
        <w:numPr>
          <w:ilvl w:val="0"/>
          <w:numId w:val="7"/>
        </w:numPr>
        <w:tabs>
          <w:tab w:val="left" w:pos="1256"/>
        </w:tabs>
        <w:spacing w:before="16"/>
        <w:ind w:left="1255" w:hanging="317"/>
        <w:rPr>
          <w:sz w:val="32"/>
        </w:rPr>
      </w:pPr>
      <w:bookmarkStart w:id="23" w:name="幻灯片_24"/>
      <w:bookmarkEnd w:id="23"/>
      <w:r>
        <w:rPr>
          <w:sz w:val="32"/>
        </w:rPr>
        <w:t>截至</w:t>
      </w:r>
      <w:r>
        <w:rPr>
          <w:rFonts w:ascii="Arial" w:eastAsia="Arial" w:hAnsi="Arial"/>
          <w:sz w:val="32"/>
        </w:rPr>
        <w:t>2024</w:t>
      </w:r>
      <w:r>
        <w:rPr>
          <w:sz w:val="32"/>
        </w:rPr>
        <w:t>年</w:t>
      </w:r>
      <w:r>
        <w:rPr>
          <w:rFonts w:ascii="Arial" w:eastAsia="Arial" w:hAnsi="Arial"/>
          <w:sz w:val="32"/>
        </w:rPr>
        <w:t>5</w:t>
      </w:r>
      <w:r>
        <w:rPr>
          <w:sz w:val="32"/>
        </w:rPr>
        <w:t>月</w:t>
      </w:r>
      <w:r>
        <w:rPr>
          <w:rFonts w:ascii="Arial" w:eastAsia="Arial" w:hAnsi="Arial"/>
          <w:sz w:val="32"/>
        </w:rPr>
        <w:t>15</w:t>
      </w:r>
      <w:r>
        <w:rPr>
          <w:sz w:val="32"/>
        </w:rPr>
        <w:t>日，已经有</w:t>
      </w:r>
      <w:r>
        <w:rPr>
          <w:rFonts w:ascii="Arial" w:eastAsia="Arial" w:hAnsi="Arial"/>
          <w:sz w:val="32"/>
        </w:rPr>
        <w:t>3195</w:t>
      </w:r>
      <w:r>
        <w:rPr>
          <w:sz w:val="32"/>
        </w:rPr>
        <w:t>家主板公司、</w:t>
      </w:r>
      <w:r>
        <w:rPr>
          <w:rFonts w:ascii="Arial" w:eastAsia="Arial" w:hAnsi="Arial"/>
          <w:sz w:val="32"/>
        </w:rPr>
        <w:t>1340</w:t>
      </w:r>
      <w:r>
        <w:rPr>
          <w:sz w:val="32"/>
        </w:rPr>
        <w:t>家创业板公司以及</w:t>
      </w:r>
      <w:r>
        <w:rPr>
          <w:rFonts w:ascii="Arial" w:eastAsia="Arial" w:hAnsi="Arial"/>
          <w:sz w:val="32"/>
        </w:rPr>
        <w:t>569</w:t>
      </w:r>
      <w:r>
        <w:rPr>
          <w:sz w:val="32"/>
        </w:rPr>
        <w:t>家科创板公司公布基于</w:t>
      </w:r>
      <w:r>
        <w:rPr>
          <w:rFonts w:ascii="Arial" w:eastAsia="Arial" w:hAnsi="Arial"/>
          <w:sz w:val="32"/>
        </w:rPr>
        <w:t>2023</w:t>
      </w:r>
      <w:r>
        <w:rPr>
          <w:sz w:val="32"/>
        </w:rPr>
        <w:t>年年报的分红预案，</w:t>
      </w:r>
    </w:p>
    <w:p w14:paraId="7F2129BE" w14:textId="77777777" w:rsidR="004634C9" w:rsidRDefault="00000000">
      <w:pPr>
        <w:pStyle w:val="a3"/>
        <w:spacing w:line="538" w:lineRule="exact"/>
        <w:ind w:left="1211"/>
      </w:pPr>
      <w:r>
        <w:t>其中，分别有</w:t>
      </w:r>
      <w:r>
        <w:rPr>
          <w:rFonts w:ascii="Arial" w:eastAsia="Arial"/>
        </w:rPr>
        <w:t>7.75%</w:t>
      </w:r>
      <w:r>
        <w:t>、</w:t>
      </w:r>
      <w:r>
        <w:rPr>
          <w:rFonts w:ascii="Arial" w:eastAsia="Arial"/>
        </w:rPr>
        <w:t>11.01%</w:t>
      </w:r>
      <w:r>
        <w:t>和</w:t>
      </w:r>
      <w:r>
        <w:rPr>
          <w:rFonts w:ascii="Arial" w:eastAsia="Arial"/>
        </w:rPr>
        <w:t>4.20%</w:t>
      </w:r>
      <w:r>
        <w:t>的公司分红方案已实施完毕。</w:t>
      </w:r>
    </w:p>
    <w:p w14:paraId="364B6858" w14:textId="77777777" w:rsidR="004634C9" w:rsidRDefault="00000000">
      <w:pPr>
        <w:pStyle w:val="a4"/>
        <w:numPr>
          <w:ilvl w:val="0"/>
          <w:numId w:val="7"/>
        </w:numPr>
        <w:tabs>
          <w:tab w:val="left" w:pos="1256"/>
        </w:tabs>
        <w:spacing w:before="12" w:line="218" w:lineRule="auto"/>
        <w:ind w:right="937" w:hanging="272"/>
        <w:rPr>
          <w:sz w:val="32"/>
        </w:rPr>
      </w:pPr>
      <w:r>
        <w:rPr>
          <w:w w:val="95"/>
          <w:sz w:val="32"/>
        </w:rPr>
        <w:t>北交所上市公司整体分红水平并不低：</w:t>
      </w:r>
      <w:r>
        <w:rPr>
          <w:rFonts w:ascii="Arial" w:eastAsia="Arial" w:hAnsi="Arial"/>
          <w:w w:val="95"/>
          <w:sz w:val="32"/>
        </w:rPr>
        <w:t>2021</w:t>
      </w:r>
      <w:r>
        <w:rPr>
          <w:w w:val="95"/>
          <w:sz w:val="32"/>
        </w:rPr>
        <w:t>、</w:t>
      </w:r>
      <w:r>
        <w:rPr>
          <w:rFonts w:ascii="Arial" w:eastAsia="Arial" w:hAnsi="Arial"/>
          <w:w w:val="95"/>
          <w:sz w:val="32"/>
        </w:rPr>
        <w:t>2022</w:t>
      </w:r>
      <w:r>
        <w:rPr>
          <w:w w:val="95"/>
          <w:sz w:val="32"/>
        </w:rPr>
        <w:t>和</w:t>
      </w:r>
      <w:r>
        <w:rPr>
          <w:rFonts w:ascii="Arial" w:eastAsia="Arial" w:hAnsi="Arial"/>
          <w:w w:val="95"/>
          <w:sz w:val="32"/>
        </w:rPr>
        <w:t>2023</w:t>
      </w:r>
      <w:r>
        <w:rPr>
          <w:w w:val="95"/>
          <w:sz w:val="32"/>
        </w:rPr>
        <w:t>年北交所整体法股息率水平分别为</w:t>
      </w:r>
      <w:r>
        <w:rPr>
          <w:rFonts w:ascii="Arial" w:eastAsia="Arial" w:hAnsi="Arial"/>
          <w:w w:val="95"/>
          <w:sz w:val="32"/>
        </w:rPr>
        <w:t>0.90%</w:t>
      </w:r>
      <w:r>
        <w:rPr>
          <w:w w:val="95"/>
          <w:sz w:val="32"/>
        </w:rPr>
        <w:t>、</w:t>
      </w:r>
      <w:r>
        <w:rPr>
          <w:rFonts w:ascii="Arial" w:eastAsia="Arial" w:hAnsi="Arial"/>
          <w:w w:val="95"/>
          <w:sz w:val="32"/>
        </w:rPr>
        <w:t>1.92%</w:t>
      </w:r>
      <w:r>
        <w:rPr>
          <w:w w:val="95"/>
          <w:sz w:val="32"/>
        </w:rPr>
        <w:t>和</w:t>
      </w:r>
      <w:r>
        <w:rPr>
          <w:rFonts w:ascii="Arial" w:eastAsia="Arial" w:hAnsi="Arial"/>
          <w:w w:val="95"/>
          <w:sz w:val="32"/>
        </w:rPr>
        <w:t>1.55%</w:t>
      </w:r>
      <w:r>
        <w:rPr>
          <w:w w:val="95"/>
          <w:sz w:val="32"/>
        </w:rPr>
        <w:t xml:space="preserve">，普      </w:t>
      </w:r>
      <w:r>
        <w:rPr>
          <w:sz w:val="32"/>
        </w:rPr>
        <w:t>遍高于科创板和创业板水平、略低于主板水平。</w:t>
      </w:r>
    </w:p>
    <w:p w14:paraId="05EEB770" w14:textId="77777777" w:rsidR="004634C9" w:rsidRDefault="00000000">
      <w:pPr>
        <w:pStyle w:val="4"/>
        <w:spacing w:line="563" w:lineRule="exact"/>
        <w:ind w:left="5330" w:right="5331"/>
        <w:jc w:val="center"/>
      </w:pPr>
      <w:r>
        <w:pict w14:anchorId="5EBF5A4D">
          <v:group id="_x0000_s2088" style="position:absolute;left:0;text-align:left;margin-left:202.05pt;margin-top:31.45pt;width:555.9pt;height:302.55pt;z-index:-251546624;mso-wrap-distance-left:0;mso-wrap-distance-right:0;mso-position-horizontal-relative:page" coordorigin="4041,629" coordsize="11118,6051">
            <v:line id="_x0000_s2152" style="position:absolute" from="4870,5702" to="14930,5702" strokecolor="#d9d9d9"/>
            <v:line id="_x0000_s2151" style="position:absolute" from="4870,5009" to="5400,5009" strokecolor="#d9d9d9"/>
            <v:rect id="_x0000_s2150" style="position:absolute;left:5400;top:4461;width:485;height:1241" fillcolor="#950000" stroked="f"/>
            <v:line id="_x0000_s2149" style="position:absolute" from="6854,5009" to="7915,5009" strokecolor="#d9d9d9"/>
            <v:line id="_x0000_s2148" style="position:absolute" from="6854,4318" to="7915,4318" strokecolor="#d9d9d9"/>
            <v:line id="_x0000_s2147" style="position:absolute" from="6854,3624" to="7915,3624" strokecolor="#d9d9d9"/>
            <v:line id="_x0000_s2146" style="position:absolute" from="4870,2933" to="8400,2933" strokecolor="#d9d9d9"/>
            <v:rect id="_x0000_s2145" style="position:absolute;left:7915;top:2928;width:485;height:2775" fillcolor="#950000" stroked="f"/>
            <v:line id="_x0000_s2144" style="position:absolute" from="9370,5009" to="10915,5009" strokecolor="#d9d9d9"/>
            <v:rect id="_x0000_s2143" style="position:absolute;left:10430;top:5085;width:485;height:617" fillcolor="#950000" stroked="f"/>
            <v:line id="_x0000_s2142" style="position:absolute" from="11885,5009" to="13430,5009" strokecolor="#d9d9d9"/>
            <v:rect id="_x0000_s2141" style="position:absolute;left:12945;top:5006;width:485;height:696" fillcolor="#950000" stroked="f"/>
            <v:line id="_x0000_s2140" style="position:absolute" from="4870,4318" to="5885,4318" strokecolor="#d9d9d9"/>
            <v:line id="_x0000_s2139" style="position:absolute" from="4870,3624" to="5885,3624" strokecolor="#d9d9d9"/>
            <v:rect id="_x0000_s2138" style="position:absolute;left:5884;top:3043;width:485;height:2660" fillcolor="#b4b4b4" stroked="f"/>
            <v:line id="_x0000_s2137" style="position:absolute" from="4870,2239" to="8400,2239" strokecolor="#d9d9d9"/>
            <v:rect id="_x0000_s2136" style="position:absolute;left:8400;top:1768;width:485;height:3934" fillcolor="#b4b4b4" stroked="f"/>
            <v:rect id="_x0000_s2135" style="position:absolute;left:10915;top:4653;width:485;height:1049" fillcolor="#b4b4b4" stroked="f"/>
            <v:rect id="_x0000_s2134" style="position:absolute;left:13430;top:4634;width:485;height:1068" fillcolor="#b4b4b4" stroked="f"/>
            <v:rect id="_x0000_s2133" style="position:absolute;left:6369;top:3556;width:485;height:2146" fillcolor="#c70000" stroked="f"/>
            <v:line id="_x0000_s2132" style="position:absolute" from="9370,4318" to="11400,4318" strokecolor="#d9d9d9"/>
            <v:line id="_x0000_s2131" style="position:absolute" from="9370,3624" to="14930,3624" strokecolor="#d9d9d9"/>
            <v:line id="_x0000_s2130" style="position:absolute" from="9370,2933" to="14930,2933" strokecolor="#d9d9d9"/>
            <v:line id="_x0000_s2129" style="position:absolute" from="9370,2239" to="14930,2239" strokecolor="#d9d9d9"/>
            <v:line id="_x0000_s2128" style="position:absolute" from="9370,1548" to="14930,1548" strokecolor="#d9d9d9"/>
            <v:line id="_x0000_s2127" style="position:absolute" from="4870,1548" to="8885,1548" strokecolor="#d9d9d9"/>
            <v:rect id="_x0000_s2126" style="position:absolute;left:8884;top:1478;width:485;height:4224" fillcolor="#c70000" stroked="f"/>
            <v:line id="_x0000_s2125" style="position:absolute" from="11885,4318" to="13915,4318" strokecolor="#d9d9d9"/>
            <v:rect id="_x0000_s2124" style="position:absolute;left:11400;top:4296;width:485;height:1407" fillcolor="#c70000" stroked="f"/>
            <v:line id="_x0000_s2123" style="position:absolute" from="14400,5009" to="14930,5009" strokecolor="#d9d9d9"/>
            <v:line id="_x0000_s2122" style="position:absolute" from="14400,4318" to="14930,4318" strokecolor="#d9d9d9"/>
            <v:rect id="_x0000_s2121" style="position:absolute;left:13915;top:4231;width:485;height:1472" fillcolor="#c70000" stroked="f"/>
            <v:line id="_x0000_s2120" style="position:absolute" from="4870,854" to="14930,854" strokecolor="#d9d9d9"/>
            <v:rect id="_x0000_s2119" style="position:absolute;left:8484;top:6340;width:94;height:96" fillcolor="#950000" stroked="f"/>
            <v:rect id="_x0000_s2118" style="position:absolute;left:8484;top:6340;width:94;height:96" filled="f" strokecolor="#950000"/>
            <v:rect id="_x0000_s2117" style="position:absolute;left:9304;top:6340;width:96;height:96" fillcolor="#b4b4b4" stroked="f"/>
            <v:rect id="_x0000_s2116" style="position:absolute;left:9304;top:6340;width:96;height:96" filled="f" strokecolor="#b4b4b4"/>
            <v:rect id="_x0000_s2115" style="position:absolute;left:10125;top:6340;width:96;height:96" fillcolor="#c70000" stroked="f"/>
            <v:rect id="_x0000_s2114" style="position:absolute;left:10125;top:6340;width:96;height:96" filled="f" strokecolor="#c70000"/>
            <v:rect id="_x0000_s2113" style="position:absolute;left:4048;top:636;width:11103;height:6036" filled="f" strokecolor="#d9d9d9"/>
            <v:shape id="_x0000_s2112" type="#_x0000_t202" style="position:absolute;left:10262;top:6284;width:441;height:212" filled="f" stroked="f">
              <v:textbox inset="0,0,0,0">
                <w:txbxContent>
                  <w:p w14:paraId="0E652E0D" w14:textId="77777777" w:rsidR="004634C9" w:rsidRDefault="00000000">
                    <w:pPr>
                      <w:spacing w:line="211" w:lineRule="exact"/>
                      <w:rPr>
                        <w:rFonts w:ascii="楷体"/>
                        <w:sz w:val="21"/>
                      </w:rPr>
                    </w:pPr>
                    <w:r>
                      <w:rPr>
                        <w:rFonts w:ascii="楷体"/>
                        <w:color w:val="585858"/>
                        <w:sz w:val="21"/>
                      </w:rPr>
                      <w:t>2023</w:t>
                    </w:r>
                  </w:p>
                </w:txbxContent>
              </v:textbox>
            </v:shape>
            <v:shape id="_x0000_s2111" type="#_x0000_t202" style="position:absolute;left:9440;top:6284;width:441;height:212" filled="f" stroked="f">
              <v:textbox inset="0,0,0,0">
                <w:txbxContent>
                  <w:p w14:paraId="700FCF93" w14:textId="77777777" w:rsidR="004634C9" w:rsidRDefault="00000000">
                    <w:pPr>
                      <w:spacing w:line="211" w:lineRule="exact"/>
                      <w:rPr>
                        <w:rFonts w:ascii="楷体"/>
                        <w:sz w:val="21"/>
                      </w:rPr>
                    </w:pPr>
                    <w:r>
                      <w:rPr>
                        <w:rFonts w:ascii="楷体"/>
                        <w:color w:val="585858"/>
                        <w:sz w:val="21"/>
                      </w:rPr>
                      <w:t>2022</w:t>
                    </w:r>
                  </w:p>
                </w:txbxContent>
              </v:textbox>
            </v:shape>
            <v:shape id="_x0000_s2110" type="#_x0000_t202" style="position:absolute;left:8619;top:6284;width:441;height:212" filled="f" stroked="f">
              <v:textbox inset="0,0,0,0">
                <w:txbxContent>
                  <w:p w14:paraId="4060FDDF" w14:textId="77777777" w:rsidR="004634C9" w:rsidRDefault="00000000">
                    <w:pPr>
                      <w:spacing w:line="211" w:lineRule="exact"/>
                      <w:rPr>
                        <w:rFonts w:ascii="楷体"/>
                        <w:sz w:val="21"/>
                      </w:rPr>
                    </w:pPr>
                    <w:r>
                      <w:rPr>
                        <w:rFonts w:ascii="楷体"/>
                        <w:color w:val="585858"/>
                        <w:sz w:val="21"/>
                      </w:rPr>
                      <w:t>2021</w:t>
                    </w:r>
                  </w:p>
                </w:txbxContent>
              </v:textbox>
            </v:shape>
            <v:shape id="_x0000_s2109" type="#_x0000_t202" style="position:absolute;left:13359;top:5853;width:652;height:212" filled="f" stroked="f">
              <v:textbox inset="0,0,0,0">
                <w:txbxContent>
                  <w:p w14:paraId="40B0D0A3" w14:textId="77777777" w:rsidR="004634C9" w:rsidRDefault="00000000">
                    <w:pPr>
                      <w:spacing w:line="211" w:lineRule="exact"/>
                      <w:rPr>
                        <w:rFonts w:ascii="楷体" w:eastAsia="楷体"/>
                        <w:sz w:val="21"/>
                      </w:rPr>
                    </w:pPr>
                    <w:r>
                      <w:rPr>
                        <w:rFonts w:ascii="楷体" w:eastAsia="楷体" w:hint="eastAsia"/>
                        <w:color w:val="585858"/>
                        <w:sz w:val="21"/>
                      </w:rPr>
                      <w:t>科创板</w:t>
                    </w:r>
                  </w:p>
                </w:txbxContent>
              </v:textbox>
            </v:shape>
            <v:shape id="_x0000_s2108" type="#_x0000_t202" style="position:absolute;left:10844;top:5853;width:652;height:212" filled="f" stroked="f">
              <v:textbox inset="0,0,0,0">
                <w:txbxContent>
                  <w:p w14:paraId="05D196E4" w14:textId="77777777" w:rsidR="004634C9" w:rsidRDefault="00000000">
                    <w:pPr>
                      <w:spacing w:line="211" w:lineRule="exact"/>
                      <w:rPr>
                        <w:rFonts w:ascii="楷体" w:eastAsia="楷体"/>
                        <w:sz w:val="21"/>
                      </w:rPr>
                    </w:pPr>
                    <w:r>
                      <w:rPr>
                        <w:rFonts w:ascii="楷体" w:eastAsia="楷体" w:hint="eastAsia"/>
                        <w:color w:val="585858"/>
                        <w:sz w:val="21"/>
                      </w:rPr>
                      <w:t>创业板</w:t>
                    </w:r>
                  </w:p>
                </w:txbxContent>
              </v:textbox>
            </v:shape>
            <v:shape id="_x0000_s2107" type="#_x0000_t202" style="position:absolute;left:8223;top:5853;width:863;height:212" filled="f" stroked="f">
              <v:textbox inset="0,0,0,0">
                <w:txbxContent>
                  <w:p w14:paraId="25466632" w14:textId="77777777" w:rsidR="004634C9" w:rsidRDefault="00000000">
                    <w:pPr>
                      <w:spacing w:line="211" w:lineRule="exact"/>
                      <w:rPr>
                        <w:rFonts w:ascii="楷体" w:eastAsia="楷体"/>
                        <w:sz w:val="21"/>
                      </w:rPr>
                    </w:pPr>
                    <w:r>
                      <w:rPr>
                        <w:rFonts w:ascii="楷体" w:eastAsia="楷体" w:hint="eastAsia"/>
                        <w:color w:val="585858"/>
                        <w:sz w:val="21"/>
                      </w:rPr>
                      <w:t>全部主板</w:t>
                    </w:r>
                  </w:p>
                </w:txbxContent>
              </v:textbox>
            </v:shape>
            <v:shape id="_x0000_s2106" type="#_x0000_t202" style="position:absolute;left:5761;top:5853;width:757;height:212" filled="f" stroked="f">
              <v:textbox inset="0,0,0,0">
                <w:txbxContent>
                  <w:p w14:paraId="48C56335" w14:textId="77777777" w:rsidR="004634C9" w:rsidRDefault="00000000">
                    <w:pPr>
                      <w:spacing w:line="211" w:lineRule="exact"/>
                      <w:rPr>
                        <w:rFonts w:ascii="楷体" w:eastAsia="楷体"/>
                        <w:sz w:val="21"/>
                      </w:rPr>
                    </w:pPr>
                    <w:r>
                      <w:rPr>
                        <w:rFonts w:ascii="楷体" w:eastAsia="楷体" w:hint="eastAsia"/>
                        <w:color w:val="585858"/>
                        <w:sz w:val="21"/>
                      </w:rPr>
                      <w:t>北证A股</w:t>
                    </w:r>
                  </w:p>
                </w:txbxContent>
              </v:textbox>
            </v:shape>
            <v:shape id="_x0000_s2105" type="#_x0000_t202" style="position:absolute;left:4180;top:5597;width:546;height:212" filled="f" stroked="f">
              <v:textbox inset="0,0,0,0">
                <w:txbxContent>
                  <w:p w14:paraId="40A9D1B6" w14:textId="77777777" w:rsidR="004634C9" w:rsidRDefault="00000000">
                    <w:pPr>
                      <w:spacing w:line="211" w:lineRule="exact"/>
                      <w:rPr>
                        <w:rFonts w:ascii="楷体"/>
                        <w:sz w:val="21"/>
                      </w:rPr>
                    </w:pPr>
                    <w:r>
                      <w:rPr>
                        <w:rFonts w:ascii="楷体"/>
                        <w:color w:val="585858"/>
                        <w:sz w:val="21"/>
                      </w:rPr>
                      <w:t>0.00%</w:t>
                    </w:r>
                  </w:p>
                </w:txbxContent>
              </v:textbox>
            </v:shape>
            <v:shape id="_x0000_s2104" type="#_x0000_t202" style="position:absolute;left:10411;top:4754;width:548;height:212" filled="f" stroked="f">
              <v:textbox inset="0,0,0,0">
                <w:txbxContent>
                  <w:p w14:paraId="014E8130" w14:textId="77777777" w:rsidR="004634C9" w:rsidRDefault="00000000">
                    <w:pPr>
                      <w:spacing w:line="211" w:lineRule="exact"/>
                      <w:rPr>
                        <w:rFonts w:ascii="楷体"/>
                        <w:sz w:val="21"/>
                      </w:rPr>
                    </w:pPr>
                    <w:r>
                      <w:rPr>
                        <w:rFonts w:ascii="楷体"/>
                        <w:color w:val="585858"/>
                        <w:sz w:val="21"/>
                      </w:rPr>
                      <w:t>0.44%</w:t>
                    </w:r>
                  </w:p>
                </w:txbxContent>
              </v:textbox>
            </v:shape>
            <v:shape id="_x0000_s2103" type="#_x0000_t202" style="position:absolute;left:4180;top:4904;width:546;height:212" filled="f" stroked="f">
              <v:textbox inset="0,0,0,0">
                <w:txbxContent>
                  <w:p w14:paraId="20A359DD" w14:textId="77777777" w:rsidR="004634C9" w:rsidRDefault="00000000">
                    <w:pPr>
                      <w:spacing w:line="211" w:lineRule="exact"/>
                      <w:rPr>
                        <w:rFonts w:ascii="楷体"/>
                        <w:sz w:val="21"/>
                      </w:rPr>
                    </w:pPr>
                    <w:r>
                      <w:rPr>
                        <w:rFonts w:ascii="楷体"/>
                        <w:color w:val="585858"/>
                        <w:sz w:val="21"/>
                      </w:rPr>
                      <w:t>0.50%</w:t>
                    </w:r>
                  </w:p>
                </w:txbxContent>
              </v:textbox>
            </v:shape>
            <v:shape id="_x0000_s2102" type="#_x0000_t202" style="position:absolute;left:12926;top:4303;width:1033;height:584" filled="f" stroked="f">
              <v:textbox inset="0,0,0,0">
                <w:txbxContent>
                  <w:p w14:paraId="6A65BA81" w14:textId="77777777" w:rsidR="004634C9" w:rsidRDefault="00000000">
                    <w:pPr>
                      <w:spacing w:line="241" w:lineRule="exact"/>
                      <w:ind w:left="484"/>
                      <w:rPr>
                        <w:rFonts w:ascii="楷体"/>
                        <w:sz w:val="21"/>
                      </w:rPr>
                    </w:pPr>
                    <w:r>
                      <w:rPr>
                        <w:rFonts w:ascii="楷体"/>
                        <w:color w:val="585858"/>
                        <w:sz w:val="21"/>
                      </w:rPr>
                      <w:t>0.77%</w:t>
                    </w:r>
                  </w:p>
                  <w:p w14:paraId="5BB0E99D" w14:textId="77777777" w:rsidR="004634C9" w:rsidRDefault="00000000">
                    <w:pPr>
                      <w:spacing w:before="103" w:line="240" w:lineRule="exact"/>
                      <w:rPr>
                        <w:rFonts w:ascii="楷体"/>
                        <w:sz w:val="21"/>
                      </w:rPr>
                    </w:pPr>
                    <w:r>
                      <w:rPr>
                        <w:rFonts w:ascii="楷体"/>
                        <w:color w:val="585858"/>
                        <w:sz w:val="21"/>
                      </w:rPr>
                      <w:t>0.50%</w:t>
                    </w:r>
                  </w:p>
                </w:txbxContent>
              </v:textbox>
            </v:shape>
            <v:shape id="_x0000_s2101" type="#_x0000_t202" style="position:absolute;left:10896;top:3965;width:1033;height:569" filled="f" stroked="f">
              <v:textbox inset="0,0,0,0">
                <w:txbxContent>
                  <w:p w14:paraId="4E5A9681" w14:textId="77777777" w:rsidR="004634C9" w:rsidRDefault="00000000">
                    <w:pPr>
                      <w:spacing w:line="241" w:lineRule="exact"/>
                      <w:ind w:left="484"/>
                      <w:rPr>
                        <w:rFonts w:ascii="楷体"/>
                        <w:sz w:val="21"/>
                      </w:rPr>
                    </w:pPr>
                    <w:r>
                      <w:rPr>
                        <w:rFonts w:ascii="楷体"/>
                        <w:color w:val="585858"/>
                        <w:sz w:val="21"/>
                      </w:rPr>
                      <w:t>1.01%</w:t>
                    </w:r>
                  </w:p>
                  <w:p w14:paraId="044CADD5" w14:textId="77777777" w:rsidR="004634C9" w:rsidRDefault="00000000">
                    <w:pPr>
                      <w:spacing w:before="88" w:line="240" w:lineRule="exact"/>
                      <w:rPr>
                        <w:rFonts w:ascii="楷体"/>
                        <w:sz w:val="21"/>
                      </w:rPr>
                    </w:pPr>
                    <w:r>
                      <w:rPr>
                        <w:rFonts w:ascii="楷体"/>
                        <w:color w:val="585858"/>
                        <w:sz w:val="21"/>
                      </w:rPr>
                      <w:t>0.76%</w:t>
                    </w:r>
                  </w:p>
                </w:txbxContent>
              </v:textbox>
            </v:shape>
            <v:shape id="_x0000_s2100" type="#_x0000_t202" style="position:absolute;left:5380;top:4130;width:548;height:212" filled="f" stroked="f">
              <v:textbox inset="0,0,0,0">
                <w:txbxContent>
                  <w:p w14:paraId="25F53E90" w14:textId="77777777" w:rsidR="004634C9" w:rsidRDefault="00000000">
                    <w:pPr>
                      <w:spacing w:line="211" w:lineRule="exact"/>
                      <w:rPr>
                        <w:rFonts w:ascii="楷体"/>
                        <w:sz w:val="21"/>
                      </w:rPr>
                    </w:pPr>
                    <w:r>
                      <w:rPr>
                        <w:rFonts w:ascii="楷体"/>
                        <w:color w:val="585858"/>
                        <w:sz w:val="21"/>
                      </w:rPr>
                      <w:t>0.90%</w:t>
                    </w:r>
                  </w:p>
                </w:txbxContent>
              </v:textbox>
            </v:shape>
            <v:shape id="_x0000_s2099" type="#_x0000_t202" style="position:absolute;left:4180;top:4211;width:546;height:212" filled="f" stroked="f">
              <v:textbox inset="0,0,0,0">
                <w:txbxContent>
                  <w:p w14:paraId="30565830" w14:textId="77777777" w:rsidR="004634C9" w:rsidRDefault="00000000">
                    <w:pPr>
                      <w:spacing w:line="211" w:lineRule="exact"/>
                      <w:rPr>
                        <w:rFonts w:ascii="楷体"/>
                        <w:sz w:val="21"/>
                      </w:rPr>
                    </w:pPr>
                    <w:r>
                      <w:rPr>
                        <w:rFonts w:ascii="楷体"/>
                        <w:color w:val="585858"/>
                        <w:sz w:val="21"/>
                      </w:rPr>
                      <w:t>1.00%</w:t>
                    </w:r>
                  </w:p>
                </w:txbxContent>
              </v:textbox>
            </v:shape>
            <v:shape id="_x0000_s2098" type="#_x0000_t202" style="position:absolute;left:13896;top:3899;width:548;height:212" filled="f" stroked="f">
              <v:textbox inset="0,0,0,0">
                <w:txbxContent>
                  <w:p w14:paraId="435D6824" w14:textId="77777777" w:rsidR="004634C9" w:rsidRDefault="00000000">
                    <w:pPr>
                      <w:spacing w:line="211" w:lineRule="exact"/>
                      <w:rPr>
                        <w:rFonts w:ascii="楷体"/>
                        <w:sz w:val="21"/>
                      </w:rPr>
                    </w:pPr>
                    <w:r>
                      <w:rPr>
                        <w:rFonts w:ascii="楷体"/>
                        <w:color w:val="585858"/>
                        <w:sz w:val="21"/>
                      </w:rPr>
                      <w:t>1.06%</w:t>
                    </w:r>
                  </w:p>
                </w:txbxContent>
              </v:textbox>
            </v:shape>
            <v:shape id="_x0000_s2097" type="#_x0000_t202" style="position:absolute;left:4180;top:3519;width:546;height:212" filled="f" stroked="f">
              <v:textbox inset="0,0,0,0">
                <w:txbxContent>
                  <w:p w14:paraId="1800B899" w14:textId="77777777" w:rsidR="004634C9" w:rsidRDefault="00000000">
                    <w:pPr>
                      <w:spacing w:line="211" w:lineRule="exact"/>
                      <w:rPr>
                        <w:rFonts w:ascii="楷体"/>
                        <w:sz w:val="21"/>
                      </w:rPr>
                    </w:pPr>
                    <w:r>
                      <w:rPr>
                        <w:rFonts w:ascii="楷体"/>
                        <w:color w:val="585858"/>
                        <w:sz w:val="21"/>
                      </w:rPr>
                      <w:t>1.50%</w:t>
                    </w:r>
                  </w:p>
                </w:txbxContent>
              </v:textbox>
            </v:shape>
            <v:shape id="_x0000_s2096" type="#_x0000_t202" style="position:absolute;left:6350;top:3225;width:548;height:212" filled="f" stroked="f">
              <v:textbox inset="0,0,0,0">
                <w:txbxContent>
                  <w:p w14:paraId="6AECF37F" w14:textId="77777777" w:rsidR="004634C9" w:rsidRDefault="00000000">
                    <w:pPr>
                      <w:spacing w:line="211" w:lineRule="exact"/>
                      <w:rPr>
                        <w:rFonts w:ascii="楷体"/>
                        <w:sz w:val="21"/>
                      </w:rPr>
                    </w:pPr>
                    <w:r>
                      <w:rPr>
                        <w:rFonts w:ascii="楷体"/>
                        <w:color w:val="585858"/>
                        <w:sz w:val="21"/>
                      </w:rPr>
                      <w:t>1.55%</w:t>
                    </w:r>
                  </w:p>
                </w:txbxContent>
              </v:textbox>
            </v:shape>
            <v:shape id="_x0000_s2095" type="#_x0000_t202" style="position:absolute;left:7896;top:2594;width:548;height:212" filled="f" stroked="f">
              <v:textbox inset="0,0,0,0">
                <w:txbxContent>
                  <w:p w14:paraId="64A12DE8" w14:textId="77777777" w:rsidR="004634C9" w:rsidRDefault="00000000">
                    <w:pPr>
                      <w:spacing w:line="212" w:lineRule="exact"/>
                      <w:rPr>
                        <w:rFonts w:ascii="楷体"/>
                        <w:sz w:val="21"/>
                      </w:rPr>
                    </w:pPr>
                    <w:r>
                      <w:rPr>
                        <w:rFonts w:ascii="楷体"/>
                        <w:color w:val="585858"/>
                        <w:sz w:val="21"/>
                      </w:rPr>
                      <w:t>2.00%</w:t>
                    </w:r>
                  </w:p>
                </w:txbxContent>
              </v:textbox>
            </v:shape>
            <v:shape id="_x0000_s2094" type="#_x0000_t202" style="position:absolute;left:5865;top:2710;width:548;height:212" filled="f" stroked="f">
              <v:textbox inset="0,0,0,0">
                <w:txbxContent>
                  <w:p w14:paraId="22C7B8B8" w14:textId="77777777" w:rsidR="004634C9" w:rsidRDefault="00000000">
                    <w:pPr>
                      <w:spacing w:line="212" w:lineRule="exact"/>
                      <w:rPr>
                        <w:rFonts w:ascii="楷体"/>
                        <w:sz w:val="21"/>
                      </w:rPr>
                    </w:pPr>
                    <w:r>
                      <w:rPr>
                        <w:rFonts w:ascii="楷体"/>
                        <w:color w:val="585858"/>
                        <w:sz w:val="21"/>
                      </w:rPr>
                      <w:t>1.92%</w:t>
                    </w:r>
                  </w:p>
                </w:txbxContent>
              </v:textbox>
            </v:shape>
            <v:shape id="_x0000_s2093" type="#_x0000_t202" style="position:absolute;left:4180;top:2827;width:546;height:212" filled="f" stroked="f">
              <v:textbox inset="0,0,0,0">
                <w:txbxContent>
                  <w:p w14:paraId="7D025EBE" w14:textId="77777777" w:rsidR="004634C9" w:rsidRDefault="00000000">
                    <w:pPr>
                      <w:spacing w:line="211" w:lineRule="exact"/>
                      <w:rPr>
                        <w:rFonts w:ascii="楷体"/>
                        <w:sz w:val="21"/>
                      </w:rPr>
                    </w:pPr>
                    <w:r>
                      <w:rPr>
                        <w:rFonts w:ascii="楷体"/>
                        <w:color w:val="585858"/>
                        <w:sz w:val="21"/>
                      </w:rPr>
                      <w:t>2.00%</w:t>
                    </w:r>
                  </w:p>
                </w:txbxContent>
              </v:textbox>
            </v:shape>
            <v:shape id="_x0000_s2092" type="#_x0000_t202" style="position:absolute;left:4180;top:2134;width:546;height:212" filled="f" stroked="f">
              <v:textbox inset="0,0,0,0">
                <w:txbxContent>
                  <w:p w14:paraId="27D4779D" w14:textId="77777777" w:rsidR="004634C9" w:rsidRDefault="00000000">
                    <w:pPr>
                      <w:spacing w:line="211" w:lineRule="exact"/>
                      <w:rPr>
                        <w:rFonts w:ascii="楷体"/>
                        <w:sz w:val="21"/>
                      </w:rPr>
                    </w:pPr>
                    <w:r>
                      <w:rPr>
                        <w:rFonts w:ascii="楷体"/>
                        <w:color w:val="585858"/>
                        <w:sz w:val="21"/>
                      </w:rPr>
                      <w:t>2.50%</w:t>
                    </w:r>
                  </w:p>
                </w:txbxContent>
              </v:textbox>
            </v:shape>
            <v:shape id="_x0000_s2091" type="#_x0000_t202" style="position:absolute;left:8380;top:1146;width:1033;height:503" filled="f" stroked="f">
              <v:textbox inset="0,0,0,0">
                <w:txbxContent>
                  <w:p w14:paraId="42F68FBC" w14:textId="77777777" w:rsidR="004634C9" w:rsidRDefault="00000000">
                    <w:pPr>
                      <w:spacing w:line="241" w:lineRule="exact"/>
                      <w:ind w:left="484"/>
                      <w:rPr>
                        <w:rFonts w:ascii="楷体"/>
                        <w:sz w:val="21"/>
                      </w:rPr>
                    </w:pPr>
                    <w:r>
                      <w:rPr>
                        <w:rFonts w:ascii="楷体"/>
                        <w:color w:val="585858"/>
                        <w:sz w:val="21"/>
                      </w:rPr>
                      <w:t>3.05%</w:t>
                    </w:r>
                  </w:p>
                  <w:p w14:paraId="07F501E8" w14:textId="77777777" w:rsidR="004634C9" w:rsidRDefault="00000000">
                    <w:pPr>
                      <w:spacing w:before="22" w:line="240" w:lineRule="exact"/>
                      <w:rPr>
                        <w:rFonts w:ascii="楷体"/>
                        <w:sz w:val="21"/>
                      </w:rPr>
                    </w:pPr>
                    <w:r>
                      <w:rPr>
                        <w:rFonts w:ascii="楷体"/>
                        <w:color w:val="585858"/>
                        <w:sz w:val="21"/>
                      </w:rPr>
                      <w:t>2.84%</w:t>
                    </w:r>
                  </w:p>
                </w:txbxContent>
              </v:textbox>
            </v:shape>
            <v:shape id="_x0000_s2090" type="#_x0000_t202" style="position:absolute;left:4180;top:1441;width:547;height:212" filled="f" stroked="f">
              <v:textbox inset="0,0,0,0">
                <w:txbxContent>
                  <w:p w14:paraId="6766658F" w14:textId="77777777" w:rsidR="004634C9" w:rsidRDefault="00000000">
                    <w:pPr>
                      <w:spacing w:line="212" w:lineRule="exact"/>
                      <w:rPr>
                        <w:rFonts w:ascii="楷体"/>
                        <w:sz w:val="21"/>
                      </w:rPr>
                    </w:pPr>
                    <w:r>
                      <w:rPr>
                        <w:rFonts w:ascii="楷体"/>
                        <w:color w:val="585858"/>
                        <w:sz w:val="21"/>
                      </w:rPr>
                      <w:t>3.00%</w:t>
                    </w:r>
                  </w:p>
                </w:txbxContent>
              </v:textbox>
            </v:shape>
            <v:shape id="_x0000_s2089" type="#_x0000_t202" style="position:absolute;left:4180;top:749;width:546;height:212" filled="f" stroked="f">
              <v:textbox inset="0,0,0,0">
                <w:txbxContent>
                  <w:p w14:paraId="34F33772" w14:textId="77777777" w:rsidR="004634C9" w:rsidRDefault="00000000">
                    <w:pPr>
                      <w:spacing w:line="211" w:lineRule="exact"/>
                      <w:rPr>
                        <w:rFonts w:ascii="楷体"/>
                        <w:sz w:val="21"/>
                      </w:rPr>
                    </w:pPr>
                    <w:r>
                      <w:rPr>
                        <w:rFonts w:ascii="楷体"/>
                        <w:color w:val="585858"/>
                        <w:sz w:val="21"/>
                      </w:rPr>
                      <w:t>3.50%</w:t>
                    </w:r>
                  </w:p>
                </w:txbxContent>
              </v:textbox>
            </v:shape>
            <w10:wrap type="topAndBottom" anchorx="page"/>
          </v:group>
        </w:pict>
      </w:r>
      <w:r>
        <w:rPr>
          <w:color w:val="BE1B1B"/>
        </w:rPr>
        <w:t>股息率水平跨市场对比</w:t>
      </w:r>
    </w:p>
    <w:p w14:paraId="31FFF165" w14:textId="77777777" w:rsidR="004634C9" w:rsidRDefault="00000000">
      <w:pPr>
        <w:spacing w:line="460" w:lineRule="exact"/>
        <w:ind w:left="4194"/>
        <w:rPr>
          <w:sz w:val="28"/>
        </w:rPr>
      </w:pPr>
      <w:r>
        <w:rPr>
          <w:color w:val="7E7E7E"/>
          <w:sz w:val="28"/>
        </w:rPr>
        <w:t>资料来源：Wind，万联证券研究所。数据截至：2024/5/15</w:t>
      </w:r>
    </w:p>
    <w:p w14:paraId="42DC81E3" w14:textId="77777777" w:rsidR="004634C9" w:rsidRDefault="004634C9">
      <w:pPr>
        <w:spacing w:line="460" w:lineRule="exact"/>
        <w:rPr>
          <w:sz w:val="28"/>
        </w:rPr>
        <w:sectPr w:rsidR="004634C9">
          <w:headerReference w:type="default" r:id="rId44"/>
          <w:pgSz w:w="19200" w:h="10800" w:orient="landscape"/>
          <w:pgMar w:top="1200" w:right="0" w:bottom="0" w:left="0" w:header="523" w:footer="0" w:gutter="0"/>
          <w:cols w:space="720"/>
        </w:sectPr>
      </w:pPr>
    </w:p>
    <w:p w14:paraId="206FC546" w14:textId="77777777" w:rsidR="004634C9" w:rsidRDefault="004634C9">
      <w:pPr>
        <w:pStyle w:val="a3"/>
        <w:rPr>
          <w:sz w:val="20"/>
        </w:rPr>
      </w:pPr>
    </w:p>
    <w:p w14:paraId="7AEFBFCE" w14:textId="77777777" w:rsidR="004634C9" w:rsidRDefault="004634C9">
      <w:pPr>
        <w:pStyle w:val="a3"/>
        <w:rPr>
          <w:sz w:val="20"/>
        </w:rPr>
      </w:pPr>
    </w:p>
    <w:p w14:paraId="5A9E3693" w14:textId="77777777" w:rsidR="004634C9" w:rsidRDefault="004634C9">
      <w:pPr>
        <w:pStyle w:val="a3"/>
        <w:rPr>
          <w:sz w:val="20"/>
        </w:rPr>
      </w:pPr>
    </w:p>
    <w:p w14:paraId="02A07F3F" w14:textId="77777777" w:rsidR="004634C9" w:rsidRDefault="004634C9">
      <w:pPr>
        <w:pStyle w:val="a3"/>
        <w:rPr>
          <w:sz w:val="20"/>
        </w:rPr>
      </w:pPr>
    </w:p>
    <w:p w14:paraId="623E3F32" w14:textId="77777777" w:rsidR="004634C9" w:rsidRDefault="004634C9">
      <w:pPr>
        <w:pStyle w:val="a3"/>
        <w:rPr>
          <w:sz w:val="20"/>
        </w:rPr>
      </w:pPr>
    </w:p>
    <w:p w14:paraId="090B3A8F" w14:textId="77777777" w:rsidR="004634C9" w:rsidRDefault="004634C9">
      <w:pPr>
        <w:pStyle w:val="a3"/>
        <w:spacing w:before="17"/>
        <w:rPr>
          <w:sz w:val="26"/>
        </w:rPr>
      </w:pPr>
    </w:p>
    <w:p w14:paraId="0ED23ED1" w14:textId="77777777" w:rsidR="004634C9" w:rsidRDefault="00000000">
      <w:pPr>
        <w:pStyle w:val="1"/>
        <w:tabs>
          <w:tab w:val="left" w:pos="1738"/>
          <w:tab w:val="left" w:pos="19199"/>
        </w:tabs>
      </w:pPr>
      <w:bookmarkStart w:id="24" w:name="幻灯片_25:_5.退市：加强监管，优化标准，严肃纪律"/>
      <w:bookmarkEnd w:id="24"/>
      <w:r>
        <w:rPr>
          <w:i w:val="0"/>
          <w:color w:val="FFFFFF"/>
          <w:shd w:val="clear" w:color="auto" w:fill="C00000"/>
        </w:rPr>
        <w:t xml:space="preserve"> </w:t>
      </w:r>
      <w:r>
        <w:rPr>
          <w:i w:val="0"/>
          <w:color w:val="FFFFFF"/>
          <w:shd w:val="clear" w:color="auto" w:fill="C00000"/>
        </w:rPr>
        <w:tab/>
      </w:r>
      <w:r>
        <w:rPr>
          <w:i w:val="0"/>
          <w:color w:val="FFFFFF"/>
          <w:spacing w:val="-1"/>
          <w:shd w:val="clear" w:color="auto" w:fill="C00000"/>
        </w:rPr>
        <w:t>5.</w:t>
      </w:r>
      <w:r>
        <w:rPr>
          <w:color w:val="FFFFFF"/>
          <w:spacing w:val="-1"/>
          <w:shd w:val="clear" w:color="auto" w:fill="C00000"/>
        </w:rPr>
        <w:t>退市：加强监管，优化标准，严</w:t>
      </w:r>
      <w:r>
        <w:rPr>
          <w:color w:val="FFFFFF"/>
          <w:spacing w:val="-5"/>
          <w:shd w:val="clear" w:color="auto" w:fill="C00000"/>
        </w:rPr>
        <w:t>肃</w:t>
      </w:r>
      <w:r>
        <w:rPr>
          <w:color w:val="FFFFFF"/>
          <w:spacing w:val="-1"/>
          <w:shd w:val="clear" w:color="auto" w:fill="C00000"/>
        </w:rPr>
        <w:t>纪</w:t>
      </w:r>
      <w:r>
        <w:rPr>
          <w:color w:val="FFFFFF"/>
          <w:shd w:val="clear" w:color="auto" w:fill="C00000"/>
        </w:rPr>
        <w:t>律</w:t>
      </w:r>
      <w:r>
        <w:rPr>
          <w:color w:val="FFFFFF"/>
          <w:shd w:val="clear" w:color="auto" w:fill="C00000"/>
        </w:rPr>
        <w:tab/>
      </w:r>
    </w:p>
    <w:p w14:paraId="32C09A9D" w14:textId="77777777" w:rsidR="004634C9" w:rsidRDefault="004634C9">
      <w:pPr>
        <w:sectPr w:rsidR="004634C9">
          <w:pgSz w:w="19200" w:h="10800" w:orient="landscape"/>
          <w:pgMar w:top="1200" w:right="0" w:bottom="280" w:left="0" w:header="523" w:footer="0" w:gutter="0"/>
          <w:cols w:space="720"/>
        </w:sectPr>
      </w:pPr>
    </w:p>
    <w:p w14:paraId="21F845D7" w14:textId="77777777" w:rsidR="004634C9" w:rsidRDefault="00000000">
      <w:pPr>
        <w:pStyle w:val="a3"/>
        <w:spacing w:before="11"/>
        <w:rPr>
          <w:b/>
          <w:i/>
          <w:sz w:val="11"/>
        </w:rPr>
      </w:pPr>
      <w:r>
        <w:lastRenderedPageBreak/>
        <w:pict w14:anchorId="6DF811EA">
          <v:shape id="_x0000_s2087" style="position:absolute;margin-left:91.25pt;margin-top:33.9pt;width:23.7pt;height:14.65pt;z-index:251773952;mso-position-horizontal-relative:page;mso-position-vertical-relative:page" coordorigin="1825,678" coordsize="474,293" o:spt="100" adj="0,,0" path="m1879,887r-54,5l1828,909r7,16l1843,938r12,12l1868,959r15,7l1900,970r19,1l1943,969r21,-7l1982,950r15,-17l2001,927r-91,l1901,923r-15,-14l1881,899r-2,-12xm2005,818r-74,l1941,822r8,9l1954,839r4,9l1960,859r1,12l1960,884r-2,12l1954,905r-5,8l1941,922r-10,5l2001,927r5,-8l2012,903r4,-16l2018,870r-2,-20l2011,831r-6,-13xm2005,683r-146,l1831,833r45,6l1886,830r10,-7l1907,819r11,-1l2005,818r-2,-3l1992,801r-13,-12l1968,783r-76,l1901,735r104,l2005,683xm1930,774r-13,l1905,777r-13,6l1968,783r-4,-2l1948,776r-18,-2xm2114,911r-55,l2059,966r55,l2114,911xm2298,759r-55,l2243,966r55,l2298,759xm2298,678r-45,l2248,691r-8,12l2230,714r-11,10l2206,733r-12,8l2183,746r-11,5l2172,801r20,-8l2210,783r17,-11l2243,759r55,l2298,678xe" fillcolor="#0d0d0d" stroked="f">
            <v:stroke joinstyle="round"/>
            <v:formulas/>
            <v:path arrowok="t" o:connecttype="segments"/>
            <w10:wrap anchorx="page" anchory="page"/>
          </v:shape>
        </w:pict>
      </w:r>
      <w:r>
        <w:rPr>
          <w:noProof/>
        </w:rPr>
        <w:drawing>
          <wp:anchor distT="0" distB="0" distL="0" distR="0" simplePos="0" relativeHeight="251774976" behindDoc="0" locked="0" layoutInCell="1" allowOverlap="1" wp14:anchorId="60D424F5" wp14:editId="459ABB06">
            <wp:simplePos x="0" y="0"/>
            <wp:positionH relativeFrom="page">
              <wp:posOffset>1575942</wp:posOffset>
            </wp:positionH>
            <wp:positionV relativeFrom="page">
              <wp:posOffset>399415</wp:posOffset>
            </wp:positionV>
            <wp:extent cx="6091301" cy="249809"/>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5" cstate="print"/>
                    <a:stretch>
                      <a:fillRect/>
                    </a:stretch>
                  </pic:blipFill>
                  <pic:spPr>
                    <a:xfrm>
                      <a:off x="0" y="0"/>
                      <a:ext cx="6091301" cy="249809"/>
                    </a:xfrm>
                    <a:prstGeom prst="rect">
                      <a:avLst/>
                    </a:prstGeom>
                  </pic:spPr>
                </pic:pic>
              </a:graphicData>
            </a:graphic>
          </wp:anchor>
        </w:drawing>
      </w:r>
    </w:p>
    <w:p w14:paraId="4C9C038D" w14:textId="77777777" w:rsidR="004634C9" w:rsidRDefault="00000000">
      <w:pPr>
        <w:pStyle w:val="a4"/>
        <w:numPr>
          <w:ilvl w:val="0"/>
          <w:numId w:val="7"/>
        </w:numPr>
        <w:tabs>
          <w:tab w:val="left" w:pos="1256"/>
        </w:tabs>
        <w:spacing w:before="16"/>
        <w:ind w:left="1255" w:hanging="317"/>
        <w:rPr>
          <w:sz w:val="32"/>
        </w:rPr>
      </w:pPr>
      <w:bookmarkStart w:id="25" w:name="幻灯片_26"/>
      <w:bookmarkEnd w:id="25"/>
      <w:r>
        <w:rPr>
          <w:sz w:val="32"/>
        </w:rPr>
        <w:t>北交所新增了“</w:t>
      </w:r>
      <w:r>
        <w:rPr>
          <w:rFonts w:ascii="Arial" w:eastAsia="Arial" w:hAnsi="Arial"/>
          <w:sz w:val="32"/>
        </w:rPr>
        <w:t>120</w:t>
      </w:r>
      <w:r>
        <w:rPr>
          <w:sz w:val="32"/>
        </w:rPr>
        <w:t>个交易日实现的累计股票成交量低于</w:t>
      </w:r>
      <w:r>
        <w:rPr>
          <w:rFonts w:ascii="Arial" w:eastAsia="Arial" w:hAnsi="Arial"/>
          <w:sz w:val="32"/>
        </w:rPr>
        <w:t>100</w:t>
      </w:r>
      <w:r>
        <w:rPr>
          <w:sz w:val="32"/>
        </w:rPr>
        <w:t>万股”的交易类标准，目前来看，暂无北交所上市公司符合交</w:t>
      </w:r>
    </w:p>
    <w:p w14:paraId="184105C7" w14:textId="77777777" w:rsidR="004634C9" w:rsidRDefault="00000000">
      <w:pPr>
        <w:pStyle w:val="a3"/>
        <w:spacing w:line="538" w:lineRule="exact"/>
        <w:ind w:left="1211"/>
      </w:pPr>
      <w:r>
        <w:t>易类标准。</w:t>
      </w:r>
    </w:p>
    <w:p w14:paraId="118756B2" w14:textId="77777777" w:rsidR="004634C9" w:rsidRDefault="00000000">
      <w:pPr>
        <w:pStyle w:val="a4"/>
        <w:numPr>
          <w:ilvl w:val="0"/>
          <w:numId w:val="7"/>
        </w:numPr>
        <w:tabs>
          <w:tab w:val="left" w:pos="1256"/>
        </w:tabs>
        <w:ind w:left="1255" w:hanging="317"/>
        <w:rPr>
          <w:sz w:val="32"/>
        </w:rPr>
      </w:pPr>
      <w:r>
        <w:rPr>
          <w:sz w:val="32"/>
        </w:rPr>
        <w:t>相比之下，主板市值退市标准从“</w:t>
      </w:r>
      <w:r>
        <w:rPr>
          <w:rFonts w:ascii="Arial" w:eastAsia="Arial" w:hAnsi="Arial"/>
          <w:sz w:val="32"/>
        </w:rPr>
        <w:t>3</w:t>
      </w:r>
      <w:r>
        <w:rPr>
          <w:sz w:val="32"/>
        </w:rPr>
        <w:t>亿元”提高至“</w:t>
      </w:r>
      <w:r>
        <w:rPr>
          <w:rFonts w:ascii="Arial" w:eastAsia="Arial" w:hAnsi="Arial"/>
          <w:sz w:val="32"/>
        </w:rPr>
        <w:t>5</w:t>
      </w:r>
      <w:r>
        <w:rPr>
          <w:sz w:val="32"/>
        </w:rPr>
        <w:t>亿元”，进一步发挥市场化退出功能，科创板和创业板维持“</w:t>
      </w:r>
      <w:r>
        <w:rPr>
          <w:rFonts w:ascii="Arial" w:eastAsia="Arial" w:hAnsi="Arial"/>
          <w:sz w:val="32"/>
        </w:rPr>
        <w:t>3</w:t>
      </w:r>
      <w:r>
        <w:rPr>
          <w:sz w:val="32"/>
        </w:rPr>
        <w:t>亿元”。</w:t>
      </w:r>
    </w:p>
    <w:p w14:paraId="1015B55F" w14:textId="77777777" w:rsidR="004634C9" w:rsidRDefault="004634C9">
      <w:pPr>
        <w:pStyle w:val="a3"/>
        <w:spacing w:before="10"/>
        <w:rPr>
          <w:sz w:val="16"/>
        </w:rPr>
      </w:pPr>
    </w:p>
    <w:p w14:paraId="2BDBB4A9" w14:textId="77777777" w:rsidR="004634C9" w:rsidRDefault="00000000">
      <w:pPr>
        <w:pStyle w:val="4"/>
        <w:spacing w:before="15"/>
        <w:ind w:left="5329" w:right="5331"/>
        <w:jc w:val="center"/>
      </w:pPr>
      <w:r>
        <w:rPr>
          <w:noProof/>
        </w:rPr>
        <w:drawing>
          <wp:anchor distT="0" distB="0" distL="0" distR="0" simplePos="0" relativeHeight="112" behindDoc="0" locked="0" layoutInCell="1" allowOverlap="1" wp14:anchorId="5C059DDC" wp14:editId="5E85E21A">
            <wp:simplePos x="0" y="0"/>
            <wp:positionH relativeFrom="page">
              <wp:posOffset>426719</wp:posOffset>
            </wp:positionH>
            <wp:positionV relativeFrom="paragraph">
              <wp:posOffset>442051</wp:posOffset>
            </wp:positionV>
            <wp:extent cx="11350875" cy="3240405"/>
            <wp:effectExtent l="0" t="0" r="0" b="0"/>
            <wp:wrapTopAndBottom/>
            <wp:docPr id="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png"/>
                    <pic:cNvPicPr/>
                  </pic:nvPicPr>
                  <pic:blipFill>
                    <a:blip r:embed="rId46" cstate="print"/>
                    <a:stretch>
                      <a:fillRect/>
                    </a:stretch>
                  </pic:blipFill>
                  <pic:spPr>
                    <a:xfrm>
                      <a:off x="0" y="0"/>
                      <a:ext cx="11350875" cy="3240405"/>
                    </a:xfrm>
                    <a:prstGeom prst="rect">
                      <a:avLst/>
                    </a:prstGeom>
                  </pic:spPr>
                </pic:pic>
              </a:graphicData>
            </a:graphic>
          </wp:anchor>
        </w:drawing>
      </w:r>
      <w:r>
        <w:rPr>
          <w:color w:val="BE1B1B"/>
        </w:rPr>
        <w:t>北交所与科创板、创业板、主板交易类退市标准对比</w:t>
      </w:r>
    </w:p>
    <w:p w14:paraId="26AE853F" w14:textId="77777777" w:rsidR="004634C9" w:rsidRDefault="00000000">
      <w:pPr>
        <w:spacing w:before="54"/>
        <w:ind w:left="818"/>
        <w:rPr>
          <w:sz w:val="28"/>
        </w:rPr>
      </w:pPr>
      <w:r>
        <w:rPr>
          <w:color w:val="7E7E7E"/>
          <w:sz w:val="28"/>
        </w:rPr>
        <w:t>资料来源：上交所，深交所，北交所，万联证券研究所</w:t>
      </w:r>
    </w:p>
    <w:p w14:paraId="103A912A" w14:textId="77777777" w:rsidR="004634C9" w:rsidRDefault="004634C9">
      <w:pPr>
        <w:rPr>
          <w:sz w:val="28"/>
        </w:rPr>
        <w:sectPr w:rsidR="004634C9">
          <w:pgSz w:w="19200" w:h="10800" w:orient="landscape"/>
          <w:pgMar w:top="1200" w:right="0" w:bottom="280" w:left="0" w:header="523" w:footer="0" w:gutter="0"/>
          <w:cols w:space="720"/>
        </w:sectPr>
      </w:pPr>
    </w:p>
    <w:p w14:paraId="31DFB27A" w14:textId="77777777" w:rsidR="004634C9" w:rsidRDefault="00000000">
      <w:pPr>
        <w:pStyle w:val="a3"/>
        <w:spacing w:before="3"/>
        <w:rPr>
          <w:sz w:val="13"/>
        </w:rPr>
      </w:pPr>
      <w:r>
        <w:rPr>
          <w:noProof/>
        </w:rPr>
        <w:lastRenderedPageBreak/>
        <w:drawing>
          <wp:anchor distT="0" distB="0" distL="0" distR="0" simplePos="0" relativeHeight="251777024" behindDoc="0" locked="0" layoutInCell="1" allowOverlap="1" wp14:anchorId="513FEFD6" wp14:editId="1CE0D044">
            <wp:simplePos x="0" y="0"/>
            <wp:positionH relativeFrom="page">
              <wp:posOffset>9552431</wp:posOffset>
            </wp:positionH>
            <wp:positionV relativeFrom="page">
              <wp:posOffset>332231</wp:posOffset>
            </wp:positionV>
            <wp:extent cx="2231135" cy="438911"/>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77A28D47">
          <v:group id="_x0000_s2084" style="position:absolute;margin-left:31.2pt;margin-top:26.15pt;width:52.95pt;height:28.45pt;z-index:251778048;mso-position-horizontal-relative:page;mso-position-vertical-relative:page" coordorigin="624,523" coordsize="1059,569">
            <v:shape id="_x0000_s2086" style="position:absolute;left:624;top:535;width:586;height:557" coordorigin="624,535" coordsize="586,557" path="m931,535r-307,l902,814,624,1092r307,l1210,814,931,535xe" fillcolor="#be1b1b" stroked="f">
              <v:path arrowok="t"/>
            </v:shape>
            <v:shape id="_x0000_s2085" style="position:absolute;left:1096;top:523;width:586;height:557" coordorigin="1097,523" coordsize="586,557" path="m1404,523r-307,l1375,802r-278,278l1404,1080,1682,802,1404,523xe" fillcolor="#d9d9d9" stroked="f">
              <v:path arrowok="t"/>
            </v:shape>
            <w10:wrap anchorx="page" anchory="page"/>
          </v:group>
        </w:pict>
      </w:r>
      <w:r>
        <w:pict w14:anchorId="3212CF0F">
          <v:shape id="_x0000_s2083" style="position:absolute;margin-left:91.25pt;margin-top:33.9pt;width:40.4pt;height:14.65pt;z-index:251779072;mso-position-horizontal-relative:page;mso-position-vertical-relative:page" coordorigin="1825,678" coordsize="808,293" o:spt="100" adj="0,,0" path="m1879,887r-54,5l1828,909r7,16l1843,938r12,12l1868,959r15,7l1900,970r19,1l1943,969r21,-7l1982,950r15,-17l2001,927r-91,l1901,923r-15,-14l1881,899r-2,-12xm2005,818r-74,l1941,822r8,9l1954,839r4,9l1960,859r1,12l1960,884r-2,12l1954,905r-5,8l1941,922r-10,5l2001,927r5,-8l2012,903r4,-16l2018,870r-2,-20l2011,831r-6,-13xm2005,683r-146,l1831,833r45,6l1886,830r10,-7l1907,819r11,-1l2005,818r-2,-3l1992,801r-13,-12l1968,783r-76,l1901,735r104,l2005,683xm1930,774r-13,l1905,777r-13,6l1968,783r-4,-2l1948,776r-18,-2xm2114,911r-55,l2059,966r55,l2114,911xm2298,759r-55,l2243,966r55,l2298,759xm2298,678r-45,l2248,691r-8,12l2230,714r-11,10l2206,733r-12,8l2183,746r-11,5l2172,801r20,-8l2210,783r17,-11l2243,759r55,l2298,678xm2447,911r-55,l2392,966r55,l2447,911xm2632,759r-55,l2577,966r55,l2632,759xm2632,678r-45,l2581,691r-7,12l2564,714r-12,10l2540,733r-12,8l2517,746r-11,5l2506,801r19,-8l2544,783r17,-11l2577,759r55,l2632,678xe" fillcolor="#0d0d0d" stroked="f">
            <v:stroke joinstyle="round"/>
            <v:formulas/>
            <v:path arrowok="t" o:connecttype="segments"/>
            <w10:wrap anchorx="page" anchory="page"/>
          </v:shape>
        </w:pict>
      </w:r>
      <w:r>
        <w:rPr>
          <w:noProof/>
        </w:rPr>
        <w:drawing>
          <wp:anchor distT="0" distB="0" distL="0" distR="0" simplePos="0" relativeHeight="251780096" behindDoc="0" locked="0" layoutInCell="1" allowOverlap="1" wp14:anchorId="169E4C71" wp14:editId="51E7444C">
            <wp:simplePos x="0" y="0"/>
            <wp:positionH relativeFrom="page">
              <wp:posOffset>1787779</wp:posOffset>
            </wp:positionH>
            <wp:positionV relativeFrom="page">
              <wp:posOffset>400177</wp:posOffset>
            </wp:positionV>
            <wp:extent cx="4568317" cy="250317"/>
            <wp:effectExtent l="0" t="0" r="0" b="0"/>
            <wp:wrapNone/>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47" cstate="print"/>
                    <a:stretch>
                      <a:fillRect/>
                    </a:stretch>
                  </pic:blipFill>
                  <pic:spPr>
                    <a:xfrm>
                      <a:off x="0" y="0"/>
                      <a:ext cx="4568317" cy="250317"/>
                    </a:xfrm>
                    <a:prstGeom prst="rect">
                      <a:avLst/>
                    </a:prstGeom>
                  </pic:spPr>
                </pic:pic>
              </a:graphicData>
            </a:graphic>
          </wp:anchor>
        </w:drawing>
      </w:r>
    </w:p>
    <w:p w14:paraId="6DCED154" w14:textId="77777777" w:rsidR="004634C9" w:rsidRDefault="00000000">
      <w:pPr>
        <w:pStyle w:val="a4"/>
        <w:numPr>
          <w:ilvl w:val="0"/>
          <w:numId w:val="7"/>
        </w:numPr>
        <w:tabs>
          <w:tab w:val="left" w:pos="1256"/>
        </w:tabs>
        <w:spacing w:before="16" w:line="583" w:lineRule="exact"/>
        <w:ind w:left="1255" w:hanging="317"/>
        <w:rPr>
          <w:rFonts w:ascii="Arial" w:eastAsia="Arial" w:hAnsi="Arial"/>
          <w:sz w:val="32"/>
        </w:rPr>
      </w:pPr>
      <w:bookmarkStart w:id="26" w:name="幻灯片_27"/>
      <w:bookmarkEnd w:id="26"/>
      <w:r>
        <w:rPr>
          <w:sz w:val="32"/>
        </w:rPr>
        <w:t>截至</w:t>
      </w:r>
      <w:r>
        <w:rPr>
          <w:rFonts w:ascii="Arial" w:eastAsia="Arial" w:hAnsi="Arial"/>
          <w:sz w:val="32"/>
        </w:rPr>
        <w:t>2024</w:t>
      </w:r>
      <w:r>
        <w:rPr>
          <w:sz w:val="32"/>
        </w:rPr>
        <w:t>年</w:t>
      </w:r>
      <w:r>
        <w:rPr>
          <w:rFonts w:ascii="Arial" w:eastAsia="Arial" w:hAnsi="Arial"/>
          <w:sz w:val="32"/>
        </w:rPr>
        <w:t>5</w:t>
      </w:r>
      <w:r>
        <w:rPr>
          <w:sz w:val="32"/>
        </w:rPr>
        <w:t>月</w:t>
      </w:r>
      <w:r>
        <w:rPr>
          <w:rFonts w:ascii="Arial" w:eastAsia="Arial" w:hAnsi="Arial"/>
          <w:sz w:val="32"/>
        </w:rPr>
        <w:t>14</w:t>
      </w:r>
      <w:r>
        <w:rPr>
          <w:sz w:val="32"/>
        </w:rPr>
        <w:t>日，近</w:t>
      </w:r>
      <w:r>
        <w:rPr>
          <w:rFonts w:ascii="Arial" w:eastAsia="Arial" w:hAnsi="Arial"/>
          <w:sz w:val="32"/>
        </w:rPr>
        <w:t>120</w:t>
      </w:r>
      <w:r>
        <w:rPr>
          <w:sz w:val="32"/>
        </w:rPr>
        <w:t>个交易日累计成交量的最低水平为</w:t>
      </w:r>
      <w:r>
        <w:rPr>
          <w:rFonts w:ascii="Arial" w:eastAsia="Arial" w:hAnsi="Arial"/>
          <w:sz w:val="32"/>
        </w:rPr>
        <w:t>3298.22</w:t>
      </w:r>
      <w:r>
        <w:rPr>
          <w:sz w:val="32"/>
        </w:rPr>
        <w:t>万股（</w:t>
      </w:r>
      <w:r>
        <w:rPr>
          <w:rFonts w:ascii="Arial" w:eastAsia="Arial" w:hAnsi="Arial"/>
          <w:sz w:val="32"/>
        </w:rPr>
        <w:t>832982.BJ</w:t>
      </w:r>
      <w:r>
        <w:rPr>
          <w:rFonts w:ascii="Arial" w:eastAsia="Arial" w:hAnsi="Arial"/>
          <w:spacing w:val="71"/>
          <w:sz w:val="32"/>
        </w:rPr>
        <w:t xml:space="preserve"> </w:t>
      </w:r>
      <w:r>
        <w:rPr>
          <w:sz w:val="32"/>
        </w:rPr>
        <w:t>锦波生物），是退市标准的</w:t>
      </w:r>
      <w:r>
        <w:rPr>
          <w:rFonts w:ascii="Arial" w:eastAsia="Arial" w:hAnsi="Arial"/>
          <w:sz w:val="32"/>
        </w:rPr>
        <w:t>32</w:t>
      </w:r>
    </w:p>
    <w:p w14:paraId="324169A5" w14:textId="77777777" w:rsidR="004634C9" w:rsidRDefault="00000000">
      <w:pPr>
        <w:pStyle w:val="a3"/>
        <w:spacing w:line="576" w:lineRule="exact"/>
        <w:ind w:left="1211"/>
      </w:pPr>
      <w:r>
        <w:t>倍。</w:t>
      </w:r>
    </w:p>
    <w:p w14:paraId="127EA899" w14:textId="77777777" w:rsidR="004634C9" w:rsidRDefault="00000000">
      <w:pPr>
        <w:pStyle w:val="a4"/>
        <w:numPr>
          <w:ilvl w:val="0"/>
          <w:numId w:val="7"/>
        </w:numPr>
        <w:tabs>
          <w:tab w:val="left" w:pos="1344"/>
        </w:tabs>
        <w:spacing w:before="2" w:line="235" w:lineRule="auto"/>
        <w:ind w:right="1088" w:hanging="272"/>
        <w:jc w:val="both"/>
        <w:rPr>
          <w:sz w:val="32"/>
        </w:rPr>
      </w:pPr>
      <w:r>
        <w:rPr>
          <w:spacing w:val="7"/>
          <w:w w:val="95"/>
          <w:sz w:val="32"/>
        </w:rPr>
        <w:t>根据申万策略报告的测算，回顾北交所开市以来，历史上连续</w:t>
      </w:r>
      <w:r>
        <w:rPr>
          <w:rFonts w:ascii="Arial" w:eastAsia="Arial" w:hAnsi="Arial"/>
          <w:spacing w:val="3"/>
          <w:w w:val="95"/>
          <w:sz w:val="32"/>
        </w:rPr>
        <w:t>120</w:t>
      </w:r>
      <w:r>
        <w:rPr>
          <w:spacing w:val="7"/>
          <w:w w:val="95"/>
          <w:sz w:val="32"/>
        </w:rPr>
        <w:t>个交易日累计成交量的最低水平为</w:t>
      </w:r>
      <w:r>
        <w:rPr>
          <w:rFonts w:ascii="Arial" w:eastAsia="Arial" w:hAnsi="Arial"/>
          <w:spacing w:val="2"/>
          <w:w w:val="95"/>
          <w:sz w:val="32"/>
        </w:rPr>
        <w:t>236</w:t>
      </w:r>
      <w:r>
        <w:rPr>
          <w:spacing w:val="7"/>
          <w:w w:val="95"/>
          <w:sz w:val="32"/>
        </w:rPr>
        <w:t>万股，出现在</w:t>
      </w:r>
      <w:r>
        <w:rPr>
          <w:rFonts w:ascii="Arial" w:eastAsia="Arial" w:hAnsi="Arial"/>
          <w:sz w:val="32"/>
        </w:rPr>
        <w:t>2022/9/14</w:t>
      </w:r>
      <w:r>
        <w:rPr>
          <w:spacing w:val="3"/>
          <w:sz w:val="32"/>
        </w:rPr>
        <w:t>，为退市标准的</w:t>
      </w:r>
      <w:r>
        <w:rPr>
          <w:rFonts w:ascii="Arial" w:eastAsia="Arial" w:hAnsi="Arial"/>
          <w:sz w:val="32"/>
        </w:rPr>
        <w:t>2.36</w:t>
      </w:r>
      <w:r>
        <w:rPr>
          <w:spacing w:val="3"/>
          <w:sz w:val="32"/>
        </w:rPr>
        <w:t>倍；而从该指标的历史最低值分布来看，</w:t>
      </w:r>
      <w:r>
        <w:rPr>
          <w:rFonts w:ascii="Arial" w:eastAsia="Arial" w:hAnsi="Arial"/>
          <w:spacing w:val="2"/>
          <w:sz w:val="32"/>
        </w:rPr>
        <w:t>21</w:t>
      </w:r>
      <w:r>
        <w:rPr>
          <w:spacing w:val="4"/>
          <w:sz w:val="32"/>
        </w:rPr>
        <w:t>家上市公司曾触及</w:t>
      </w:r>
      <w:r>
        <w:rPr>
          <w:rFonts w:ascii="Arial" w:eastAsia="Arial" w:hAnsi="Arial"/>
          <w:sz w:val="32"/>
        </w:rPr>
        <w:t>200-500</w:t>
      </w:r>
      <w:r>
        <w:rPr>
          <w:spacing w:val="2"/>
          <w:sz w:val="32"/>
        </w:rPr>
        <w:t>万股的水平，为退市标准的</w:t>
      </w:r>
      <w:r>
        <w:rPr>
          <w:rFonts w:ascii="Arial" w:eastAsia="Arial" w:hAnsi="Arial"/>
          <w:spacing w:val="2"/>
          <w:sz w:val="32"/>
        </w:rPr>
        <w:t>2-5</w:t>
      </w:r>
      <w:r>
        <w:rPr>
          <w:spacing w:val="2"/>
          <w:sz w:val="32"/>
        </w:rPr>
        <w:t>倍。</w:t>
      </w:r>
    </w:p>
    <w:p w14:paraId="2016BE44" w14:textId="77777777" w:rsidR="004634C9" w:rsidRDefault="00000000">
      <w:pPr>
        <w:pStyle w:val="4"/>
        <w:spacing w:before="60"/>
        <w:ind w:left="5330" w:right="5331"/>
        <w:jc w:val="center"/>
      </w:pPr>
      <w:r>
        <w:rPr>
          <w:color w:val="BE1B1B"/>
        </w:rPr>
        <w:t>连续</w:t>
      </w:r>
      <w:r>
        <w:rPr>
          <w:i w:val="0"/>
          <w:color w:val="BE1B1B"/>
        </w:rPr>
        <w:t>120</w:t>
      </w:r>
      <w:r>
        <w:rPr>
          <w:color w:val="BE1B1B"/>
        </w:rPr>
        <w:t>个交易日累计成交量历史最低值分布</w:t>
      </w:r>
    </w:p>
    <w:p w14:paraId="238DF186" w14:textId="77777777" w:rsidR="004634C9" w:rsidRDefault="00000000">
      <w:pPr>
        <w:pStyle w:val="a3"/>
        <w:spacing w:before="11"/>
        <w:rPr>
          <w:b/>
          <w:i/>
          <w:sz w:val="11"/>
        </w:rPr>
      </w:pPr>
      <w:r>
        <w:rPr>
          <w:noProof/>
        </w:rPr>
        <w:drawing>
          <wp:anchor distT="0" distB="0" distL="0" distR="0" simplePos="0" relativeHeight="115" behindDoc="0" locked="0" layoutInCell="1" allowOverlap="1" wp14:anchorId="3033E8C2" wp14:editId="52752973">
            <wp:simplePos x="0" y="0"/>
            <wp:positionH relativeFrom="page">
              <wp:posOffset>2628900</wp:posOffset>
            </wp:positionH>
            <wp:positionV relativeFrom="paragraph">
              <wp:posOffset>160719</wp:posOffset>
            </wp:positionV>
            <wp:extent cx="6926456" cy="2790634"/>
            <wp:effectExtent l="0" t="0" r="0" b="0"/>
            <wp:wrapTopAndBottom/>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48" cstate="print"/>
                    <a:stretch>
                      <a:fillRect/>
                    </a:stretch>
                  </pic:blipFill>
                  <pic:spPr>
                    <a:xfrm>
                      <a:off x="0" y="0"/>
                      <a:ext cx="6926456" cy="2790634"/>
                    </a:xfrm>
                    <a:prstGeom prst="rect">
                      <a:avLst/>
                    </a:prstGeom>
                  </pic:spPr>
                </pic:pic>
              </a:graphicData>
            </a:graphic>
          </wp:anchor>
        </w:drawing>
      </w:r>
    </w:p>
    <w:p w14:paraId="17776BB6" w14:textId="77777777" w:rsidR="004634C9" w:rsidRDefault="00000000">
      <w:pPr>
        <w:spacing w:before="214"/>
        <w:ind w:left="4104"/>
        <w:rPr>
          <w:sz w:val="28"/>
        </w:rPr>
      </w:pPr>
      <w:r>
        <w:rPr>
          <w:color w:val="7E7E7E"/>
          <w:sz w:val="28"/>
        </w:rPr>
        <w:t>资料来源：Choice，申万宏源研究</w:t>
      </w:r>
    </w:p>
    <w:p w14:paraId="5B6BEA46" w14:textId="77777777" w:rsidR="004634C9" w:rsidRDefault="004634C9">
      <w:pPr>
        <w:rPr>
          <w:sz w:val="28"/>
        </w:rPr>
        <w:sectPr w:rsidR="004634C9">
          <w:headerReference w:type="default" r:id="rId49"/>
          <w:pgSz w:w="19200" w:h="10800" w:orient="landscape"/>
          <w:pgMar w:top="1200" w:right="0" w:bottom="280" w:left="0" w:header="523" w:footer="0" w:gutter="0"/>
          <w:cols w:space="720"/>
        </w:sectPr>
      </w:pPr>
    </w:p>
    <w:p w14:paraId="5607725E" w14:textId="77777777" w:rsidR="004634C9" w:rsidRDefault="00000000">
      <w:pPr>
        <w:pStyle w:val="a3"/>
        <w:spacing w:before="11"/>
        <w:rPr>
          <w:sz w:val="11"/>
        </w:rPr>
      </w:pPr>
      <w:r>
        <w:rPr>
          <w:noProof/>
        </w:rPr>
        <w:lastRenderedPageBreak/>
        <w:drawing>
          <wp:anchor distT="0" distB="0" distL="0" distR="0" simplePos="0" relativeHeight="251781120" behindDoc="0" locked="0" layoutInCell="1" allowOverlap="1" wp14:anchorId="73C40BD9" wp14:editId="43077353">
            <wp:simplePos x="0" y="0"/>
            <wp:positionH relativeFrom="page">
              <wp:posOffset>9552431</wp:posOffset>
            </wp:positionH>
            <wp:positionV relativeFrom="page">
              <wp:posOffset>332231</wp:posOffset>
            </wp:positionV>
            <wp:extent cx="2231135" cy="438911"/>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0FE01BC9">
          <v:group id="_x0000_s2080" style="position:absolute;margin-left:31.2pt;margin-top:26.15pt;width:52.95pt;height:28.45pt;z-index:251782144;mso-position-horizontal-relative:page;mso-position-vertical-relative:page" coordorigin="624,523" coordsize="1059,569">
            <v:shape id="_x0000_s2082" style="position:absolute;left:624;top:535;width:586;height:557" coordorigin="624,535" coordsize="586,557" path="m931,535r-307,l902,814,624,1092r307,l1210,814,931,535xe" fillcolor="#be1b1b" stroked="f">
              <v:path arrowok="t"/>
            </v:shape>
            <v:shape id="_x0000_s2081" style="position:absolute;left:1096;top:523;width:586;height:557" coordorigin="1097,523" coordsize="586,557" path="m1404,523r-307,l1375,802r-278,278l1404,1080,1682,802,1404,523xe" fillcolor="#d9d9d9" stroked="f">
              <v:path arrowok="t"/>
            </v:shape>
            <w10:wrap anchorx="page" anchory="page"/>
          </v:group>
        </w:pict>
      </w:r>
      <w:r>
        <w:pict w14:anchorId="23969F53">
          <v:shape id="_x0000_s2079" style="position:absolute;margin-left:91.25pt;margin-top:33.9pt;width:25.95pt;height:14.65pt;z-index:251783168;mso-position-horizontal-relative:page;mso-position-vertical-relative:page" coordorigin="1825,678" coordsize="519,293" o:spt="100" adj="0,,0" path="m1879,887r-54,5l1828,909r7,16l1843,938r12,12l1868,959r15,7l1900,970r19,1l1943,969r21,-7l1982,950r15,-17l2001,927r-91,l1901,923r-15,-14l1881,899r-2,-12xm2005,818r-74,l1941,822r8,9l1954,839r4,9l1960,859r1,12l1960,884r-2,12l1954,905r-5,8l1941,922r-10,5l2001,927r5,-8l2012,903r4,-16l2018,870r-2,-20l2011,831r-6,-13xm2005,683r-146,l1831,833r45,6l1886,830r10,-7l1907,819r11,-1l2005,818r-2,-3l1992,801r-13,-12l1968,783r-76,l1901,735r104,l2005,683xm1930,774r-13,l1905,777r-13,6l1968,783r-4,-2l1948,776r-18,-2xm2114,911r-55,l2059,966r55,l2114,911xm2335,724r-73,l2271,727r14,13l2288,750r,23l2284,784r-7,12l2271,803r-10,10l2248,827r-17,16l2210,863r-18,18l2179,897r-10,14l2162,925r-5,13l2153,952r-3,14l2343,966r,-51l2234,915r3,-5l2241,905r4,-5l2250,895r7,-7l2266,879r12,-11l2290,857r10,-10l2308,839r6,-7l2321,822r6,-9l2332,804r4,-9l2341,783r2,-12l2343,758r-1,-16l2337,727r-2,-3xm2252,678r-18,1l2217,683r-16,6l2188,698r-12,11l2167,724r-6,18l2157,763r55,6l2213,753r4,-12l2223,734r7,-7l2239,724r96,l2329,713r-10,-12l2306,691r-16,-7l2272,680r-20,-2xe" fillcolor="#0d0d0d" stroked="f">
            <v:stroke joinstyle="round"/>
            <v:formulas/>
            <v:path arrowok="t" o:connecttype="segments"/>
            <w10:wrap anchorx="page" anchory="page"/>
          </v:shape>
        </w:pict>
      </w:r>
      <w:r>
        <w:rPr>
          <w:noProof/>
        </w:rPr>
        <w:drawing>
          <wp:anchor distT="0" distB="0" distL="0" distR="0" simplePos="0" relativeHeight="251784192" behindDoc="0" locked="0" layoutInCell="1" allowOverlap="1" wp14:anchorId="646AFA8F" wp14:editId="771B1DC2">
            <wp:simplePos x="0" y="0"/>
            <wp:positionH relativeFrom="page">
              <wp:posOffset>1573149</wp:posOffset>
            </wp:positionH>
            <wp:positionV relativeFrom="page">
              <wp:posOffset>399415</wp:posOffset>
            </wp:positionV>
            <wp:extent cx="5840095" cy="249555"/>
            <wp:effectExtent l="0" t="0" r="0" b="0"/>
            <wp:wrapNone/>
            <wp:docPr id="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png"/>
                    <pic:cNvPicPr/>
                  </pic:nvPicPr>
                  <pic:blipFill>
                    <a:blip r:embed="rId50" cstate="print"/>
                    <a:stretch>
                      <a:fillRect/>
                    </a:stretch>
                  </pic:blipFill>
                  <pic:spPr>
                    <a:xfrm>
                      <a:off x="0" y="0"/>
                      <a:ext cx="5840095" cy="249555"/>
                    </a:xfrm>
                    <a:prstGeom prst="rect">
                      <a:avLst/>
                    </a:prstGeom>
                  </pic:spPr>
                </pic:pic>
              </a:graphicData>
            </a:graphic>
          </wp:anchor>
        </w:drawing>
      </w:r>
    </w:p>
    <w:p w14:paraId="76BB7269" w14:textId="77777777" w:rsidR="004634C9" w:rsidRDefault="00000000">
      <w:pPr>
        <w:pStyle w:val="a4"/>
        <w:numPr>
          <w:ilvl w:val="0"/>
          <w:numId w:val="7"/>
        </w:numPr>
        <w:tabs>
          <w:tab w:val="left" w:pos="1256"/>
        </w:tabs>
        <w:spacing w:before="16"/>
        <w:ind w:left="1255" w:hanging="317"/>
        <w:rPr>
          <w:sz w:val="32"/>
        </w:rPr>
      </w:pPr>
      <w:bookmarkStart w:id="27" w:name="幻灯片_28"/>
      <w:bookmarkEnd w:id="27"/>
      <w:r>
        <w:rPr>
          <w:b/>
          <w:i/>
          <w:sz w:val="32"/>
        </w:rPr>
        <w:t>主板亏损公司营收指标收紧</w:t>
      </w:r>
      <w:r>
        <w:rPr>
          <w:sz w:val="32"/>
        </w:rPr>
        <w:t>，由“</w:t>
      </w:r>
      <w:r>
        <w:rPr>
          <w:rFonts w:ascii="Arial" w:eastAsia="Arial" w:hAnsi="Arial"/>
          <w:sz w:val="32"/>
        </w:rPr>
        <w:t>1</w:t>
      </w:r>
      <w:r>
        <w:rPr>
          <w:sz w:val="32"/>
        </w:rPr>
        <w:t>亿元”提高至“</w:t>
      </w:r>
      <w:r>
        <w:rPr>
          <w:rFonts w:ascii="Arial" w:eastAsia="Arial" w:hAnsi="Arial"/>
          <w:sz w:val="32"/>
        </w:rPr>
        <w:t>3</w:t>
      </w:r>
      <w:r>
        <w:rPr>
          <w:sz w:val="32"/>
        </w:rPr>
        <w:t>亿元”。考虑到其他板块上市公司成长性和收入规模特点，双创维持</w:t>
      </w:r>
    </w:p>
    <w:p w14:paraId="1021266D" w14:textId="77777777" w:rsidR="004634C9" w:rsidRDefault="00000000">
      <w:pPr>
        <w:pStyle w:val="a3"/>
        <w:spacing w:line="538" w:lineRule="exact"/>
        <w:ind w:left="1211"/>
      </w:pPr>
      <w:r>
        <w:t>“</w:t>
      </w:r>
      <w:r>
        <w:rPr>
          <w:rFonts w:ascii="Arial" w:eastAsia="Arial" w:hAnsi="Arial"/>
        </w:rPr>
        <w:t>1</w:t>
      </w:r>
      <w:r>
        <w:t>亿元”、北交所维持“</w:t>
      </w:r>
      <w:r>
        <w:rPr>
          <w:rFonts w:ascii="Arial" w:eastAsia="Arial" w:hAnsi="Arial"/>
        </w:rPr>
        <w:t>5000</w:t>
      </w:r>
      <w:r>
        <w:t>万元”。</w:t>
      </w:r>
    </w:p>
    <w:p w14:paraId="62CBD5DF" w14:textId="77777777" w:rsidR="004634C9" w:rsidRDefault="00000000">
      <w:pPr>
        <w:pStyle w:val="a4"/>
        <w:numPr>
          <w:ilvl w:val="0"/>
          <w:numId w:val="7"/>
        </w:numPr>
        <w:tabs>
          <w:tab w:val="left" w:pos="1256"/>
        </w:tabs>
        <w:spacing w:before="12" w:line="218" w:lineRule="auto"/>
        <w:ind w:right="861" w:hanging="272"/>
        <w:rPr>
          <w:sz w:val="32"/>
        </w:rPr>
      </w:pPr>
      <w:r>
        <w:rPr>
          <w:b/>
          <w:i/>
          <w:sz w:val="32"/>
        </w:rPr>
        <w:t>北交所财务类退市标准向沪深看齐：</w:t>
      </w:r>
      <w:r>
        <w:rPr>
          <w:rFonts w:ascii="Arial" w:eastAsia="Arial" w:hAnsi="Arial"/>
          <w:sz w:val="32"/>
        </w:rPr>
        <w:t>1</w:t>
      </w:r>
      <w:r>
        <w:rPr>
          <w:sz w:val="32"/>
        </w:rPr>
        <w:t>、新增利润总额考察“亏损”，加强亏损企业出清力度；</w:t>
      </w:r>
      <w:r>
        <w:rPr>
          <w:rFonts w:ascii="Arial" w:eastAsia="Arial" w:hAnsi="Arial"/>
          <w:sz w:val="32"/>
        </w:rPr>
        <w:t>2</w:t>
      </w:r>
      <w:r>
        <w:rPr>
          <w:sz w:val="32"/>
        </w:rPr>
        <w:t>、新增摘星条件“内部控</w:t>
      </w:r>
      <w:r>
        <w:rPr>
          <w:w w:val="95"/>
          <w:sz w:val="32"/>
        </w:rPr>
        <w:t>制审计报告为标准无保留意见”，提高规范性要求；</w:t>
      </w:r>
      <w:r>
        <w:rPr>
          <w:rFonts w:ascii="Arial" w:eastAsia="Arial" w:hAnsi="Arial"/>
          <w:w w:val="95"/>
          <w:sz w:val="32"/>
        </w:rPr>
        <w:t>3</w:t>
      </w:r>
      <w:r>
        <w:rPr>
          <w:spacing w:val="-1"/>
          <w:w w:val="95"/>
          <w:sz w:val="32"/>
        </w:rPr>
        <w:t>、新增扣除与主营业务无关收入，防止做大收入“保壳”规避退市。</w:t>
      </w:r>
    </w:p>
    <w:p w14:paraId="40D8C7A5" w14:textId="77777777" w:rsidR="004634C9" w:rsidRDefault="00000000">
      <w:pPr>
        <w:pStyle w:val="4"/>
        <w:spacing w:before="123"/>
        <w:ind w:left="7294"/>
      </w:pPr>
      <w:r>
        <w:rPr>
          <w:color w:val="BE1B1B"/>
        </w:rPr>
        <w:t>沪深京交易所财务类退市标准对比</w:t>
      </w:r>
    </w:p>
    <w:p w14:paraId="576FD38A" w14:textId="77777777" w:rsidR="004634C9" w:rsidRDefault="00000000">
      <w:pPr>
        <w:pStyle w:val="a3"/>
        <w:ind w:left="799"/>
        <w:rPr>
          <w:sz w:val="20"/>
        </w:rPr>
      </w:pPr>
      <w:r>
        <w:rPr>
          <w:noProof/>
          <w:sz w:val="20"/>
        </w:rPr>
        <w:drawing>
          <wp:inline distT="0" distB="0" distL="0" distR="0" wp14:anchorId="66518533" wp14:editId="606FDAC1">
            <wp:extent cx="11228506" cy="3254692"/>
            <wp:effectExtent l="0" t="0" r="0" b="0"/>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51" cstate="print"/>
                    <a:stretch>
                      <a:fillRect/>
                    </a:stretch>
                  </pic:blipFill>
                  <pic:spPr>
                    <a:xfrm>
                      <a:off x="0" y="0"/>
                      <a:ext cx="11228506" cy="3254692"/>
                    </a:xfrm>
                    <a:prstGeom prst="rect">
                      <a:avLst/>
                    </a:prstGeom>
                  </pic:spPr>
                </pic:pic>
              </a:graphicData>
            </a:graphic>
          </wp:inline>
        </w:drawing>
      </w:r>
    </w:p>
    <w:p w14:paraId="781343B9" w14:textId="77777777" w:rsidR="004634C9" w:rsidRDefault="00000000">
      <w:pPr>
        <w:spacing w:before="20"/>
        <w:ind w:left="949"/>
        <w:rPr>
          <w:sz w:val="28"/>
        </w:rPr>
      </w:pPr>
      <w:r>
        <w:rPr>
          <w:color w:val="7E7E7E"/>
          <w:sz w:val="28"/>
        </w:rPr>
        <w:t>资料来源：上交所，深交所，北交所，万联证券研究所</w:t>
      </w:r>
    </w:p>
    <w:p w14:paraId="161A144F" w14:textId="77777777" w:rsidR="004634C9" w:rsidRDefault="004634C9">
      <w:pPr>
        <w:rPr>
          <w:sz w:val="28"/>
        </w:rPr>
        <w:sectPr w:rsidR="004634C9">
          <w:pgSz w:w="19200" w:h="10800" w:orient="landscape"/>
          <w:pgMar w:top="1200" w:right="0" w:bottom="280" w:left="0" w:header="523" w:footer="0" w:gutter="0"/>
          <w:cols w:space="720"/>
        </w:sectPr>
      </w:pPr>
    </w:p>
    <w:p w14:paraId="0189D72C" w14:textId="77777777" w:rsidR="004634C9" w:rsidRDefault="00000000">
      <w:pPr>
        <w:pStyle w:val="a3"/>
        <w:spacing w:before="11"/>
        <w:rPr>
          <w:sz w:val="11"/>
        </w:rPr>
      </w:pPr>
      <w:r>
        <w:rPr>
          <w:noProof/>
        </w:rPr>
        <w:lastRenderedPageBreak/>
        <w:drawing>
          <wp:anchor distT="0" distB="0" distL="0" distR="0" simplePos="0" relativeHeight="251785216" behindDoc="0" locked="0" layoutInCell="1" allowOverlap="1" wp14:anchorId="3E28072A" wp14:editId="20A7A310">
            <wp:simplePos x="0" y="0"/>
            <wp:positionH relativeFrom="page">
              <wp:posOffset>9552431</wp:posOffset>
            </wp:positionH>
            <wp:positionV relativeFrom="page">
              <wp:posOffset>332231</wp:posOffset>
            </wp:positionV>
            <wp:extent cx="2231135" cy="438911"/>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5A275741">
          <v:group id="_x0000_s2076" style="position:absolute;margin-left:31.2pt;margin-top:26.15pt;width:52.95pt;height:28.45pt;z-index:251786240;mso-position-horizontal-relative:page;mso-position-vertical-relative:page" coordorigin="624,523" coordsize="1059,569">
            <v:shape id="_x0000_s2078" style="position:absolute;left:624;top:535;width:586;height:557" coordorigin="624,535" coordsize="586,557" path="m931,535r-307,l902,814,624,1092r307,l1210,814,931,535xe" fillcolor="#be1b1b" stroked="f">
              <v:path arrowok="t"/>
            </v:shape>
            <v:shape id="_x0000_s2077" style="position:absolute;left:1096;top:523;width:586;height:557" coordorigin="1097,523" coordsize="586,557" path="m1404,523r-307,l1375,802r-278,278l1404,1080,1682,802,1404,523xe" fillcolor="#d9d9d9" stroked="f">
              <v:path arrowok="t"/>
            </v:shape>
            <w10:wrap anchorx="page" anchory="page"/>
          </v:group>
        </w:pict>
      </w:r>
      <w:r>
        <w:pict w14:anchorId="324B4C87">
          <v:shape id="_x0000_s2075" style="position:absolute;margin-left:91.25pt;margin-top:33.9pt;width:26.1pt;height:14.65pt;z-index:251787264;mso-position-horizontal-relative:page;mso-position-vertical-relative:page" coordorigin="1825,678" coordsize="522,293" o:spt="100" adj="0,,0" path="m1879,887r-54,5l1828,909r7,16l1843,938r12,12l1868,959r15,7l1900,970r19,1l1943,969r21,-7l1982,950r15,-17l2001,927r-91,l1901,923r-15,-14l1881,899r-2,-12xm2005,818r-74,l1941,822r8,9l1954,839r4,9l1960,859r1,12l1960,884r-2,12l1954,905r-5,8l1941,922r-10,5l2001,927r5,-8l2012,903r4,-16l2018,870r-2,-20l2011,831r-6,-13xm2005,683r-146,l1831,833r45,6l1886,830r10,-7l1907,819r11,-1l2005,818r-2,-3l1992,801r-13,-12l1968,783r-76,l1901,735r104,l2005,683xm1930,774r-13,l1905,777r-13,6l1968,783r-4,-2l1948,776r-18,-2xm2114,911r-55,l2059,966r55,l2114,911xm2209,884r-54,6l2159,907r6,16l2174,937r11,12l2199,959r15,7l2231,970r19,1l2269,970r18,-6l2304,956r14,-12l2330,930r3,-4l2239,926r-9,-4l2215,908r-5,-11l2209,884xm2329,833r-67,l2271,837r8,8l2286,853r4,11l2290,892r-4,12l2270,921r-9,5l2333,926r6,-11l2344,898r2,-18l2345,868r-3,-12l2338,845r-7,-9l2329,833xm2326,723r-70,l2264,726r5,6l2275,738r3,7l2278,766r-4,10l2258,789r-11,3l2232,792r-6,45l2236,834r8,-1l2329,833r-6,-6l2314,821r-11,-6l2292,812r18,-12l2317,792r-70,l2232,792r85,l2323,786r8,-16l2333,752r-1,-13l2328,727r,-1l2326,723xm2248,678r-12,1l2225,680r-10,3l2205,687r-12,6l2183,701r-7,11l2171,720r-5,10l2163,741r-3,12l2210,762r2,-13l2216,740r6,-7l2229,727r8,-4l2326,723r-4,-8l2313,704r-13,-11l2284,685r-17,-5l2248,678xe" fillcolor="#0d0d0d" stroked="f">
            <v:stroke joinstyle="round"/>
            <v:formulas/>
            <v:path arrowok="t" o:connecttype="segments"/>
            <w10:wrap anchorx="page" anchory="page"/>
          </v:shape>
        </w:pict>
      </w:r>
      <w:r>
        <w:rPr>
          <w:noProof/>
        </w:rPr>
        <w:drawing>
          <wp:anchor distT="0" distB="0" distL="0" distR="0" simplePos="0" relativeHeight="251788288" behindDoc="0" locked="0" layoutInCell="1" allowOverlap="1" wp14:anchorId="0DC3B0CF" wp14:editId="2762BFE8">
            <wp:simplePos x="0" y="0"/>
            <wp:positionH relativeFrom="page">
              <wp:posOffset>1572386</wp:posOffset>
            </wp:positionH>
            <wp:positionV relativeFrom="page">
              <wp:posOffset>400431</wp:posOffset>
            </wp:positionV>
            <wp:extent cx="5586476" cy="249555"/>
            <wp:effectExtent l="0" t="0" r="0" b="0"/>
            <wp:wrapNone/>
            <wp:docPr id="8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png"/>
                    <pic:cNvPicPr/>
                  </pic:nvPicPr>
                  <pic:blipFill>
                    <a:blip r:embed="rId52" cstate="print"/>
                    <a:stretch>
                      <a:fillRect/>
                    </a:stretch>
                  </pic:blipFill>
                  <pic:spPr>
                    <a:xfrm>
                      <a:off x="0" y="0"/>
                      <a:ext cx="5586476" cy="249555"/>
                    </a:xfrm>
                    <a:prstGeom prst="rect">
                      <a:avLst/>
                    </a:prstGeom>
                  </pic:spPr>
                </pic:pic>
              </a:graphicData>
            </a:graphic>
          </wp:anchor>
        </w:drawing>
      </w:r>
    </w:p>
    <w:p w14:paraId="20105681" w14:textId="77777777" w:rsidR="004634C9" w:rsidRDefault="00000000">
      <w:pPr>
        <w:pStyle w:val="4"/>
        <w:numPr>
          <w:ilvl w:val="0"/>
          <w:numId w:val="7"/>
        </w:numPr>
        <w:tabs>
          <w:tab w:val="left" w:pos="1256"/>
        </w:tabs>
        <w:spacing w:before="16" w:line="564" w:lineRule="exact"/>
        <w:ind w:left="1255" w:hanging="317"/>
      </w:pPr>
      <w:bookmarkStart w:id="28" w:name="幻灯片_29"/>
      <w:bookmarkEnd w:id="28"/>
      <w:r>
        <w:t>北交所规范类强制退市情形与沪深统一，新规新增三项情形，退市多元化：</w:t>
      </w:r>
    </w:p>
    <w:p w14:paraId="2DD34A17" w14:textId="77777777" w:rsidR="004634C9" w:rsidRDefault="00000000">
      <w:pPr>
        <w:spacing w:before="12" w:line="218" w:lineRule="auto"/>
        <w:ind w:left="939" w:right="811"/>
        <w:jc w:val="both"/>
        <w:rPr>
          <w:sz w:val="32"/>
        </w:rPr>
      </w:pPr>
      <w:r>
        <w:rPr>
          <w:rFonts w:ascii="Arial" w:eastAsia="Arial"/>
          <w:b/>
          <w:sz w:val="32"/>
        </w:rPr>
        <w:t>1</w:t>
      </w:r>
      <w:r>
        <w:rPr>
          <w:b/>
          <w:i/>
          <w:sz w:val="32"/>
        </w:rPr>
        <w:t>、控制权无序争夺。</w:t>
      </w:r>
      <w:r>
        <w:rPr>
          <w:sz w:val="32"/>
        </w:rPr>
        <w:t>督促股东在制度框架内解决控制权争议，切实保障中小投资者知情权；</w:t>
      </w:r>
      <w:r>
        <w:rPr>
          <w:rFonts w:ascii="Arial" w:eastAsia="Arial"/>
          <w:b/>
          <w:spacing w:val="2"/>
          <w:sz w:val="32"/>
        </w:rPr>
        <w:t>2</w:t>
      </w:r>
      <w:r>
        <w:rPr>
          <w:b/>
          <w:i/>
          <w:sz w:val="32"/>
        </w:rPr>
        <w:t>、控股股东资金占用。</w:t>
      </w:r>
      <w:r>
        <w:rPr>
          <w:sz w:val="32"/>
        </w:rPr>
        <w:t>增强对</w:t>
      </w:r>
      <w:r>
        <w:rPr>
          <w:w w:val="95"/>
          <w:sz w:val="32"/>
        </w:rPr>
        <w:t>大股东侵占监管震慑，督促公司加强内部控制，维护资产财务独立性；</w:t>
      </w:r>
      <w:r>
        <w:rPr>
          <w:rFonts w:ascii="Arial" w:eastAsia="Arial"/>
          <w:b/>
          <w:w w:val="95"/>
          <w:sz w:val="32"/>
        </w:rPr>
        <w:t>3</w:t>
      </w:r>
      <w:r>
        <w:rPr>
          <w:b/>
          <w:i/>
          <w:w w:val="95"/>
          <w:sz w:val="32"/>
        </w:rPr>
        <w:t>、内控非标审计意见。</w:t>
      </w:r>
      <w:r>
        <w:rPr>
          <w:spacing w:val="-2"/>
          <w:w w:val="95"/>
          <w:sz w:val="32"/>
        </w:rPr>
        <w:t xml:space="preserve">压实审计机构责任，督促公司        </w:t>
      </w:r>
      <w:r>
        <w:rPr>
          <w:sz w:val="32"/>
        </w:rPr>
        <w:t>完善内部治理、规范运作。</w:t>
      </w:r>
    </w:p>
    <w:p w14:paraId="1DCE0E51" w14:textId="77777777" w:rsidR="004634C9" w:rsidRDefault="004634C9">
      <w:pPr>
        <w:pStyle w:val="a3"/>
        <w:spacing w:before="16"/>
        <w:rPr>
          <w:sz w:val="5"/>
        </w:rPr>
      </w:pPr>
    </w:p>
    <w:p w14:paraId="0507ECDE" w14:textId="77777777" w:rsidR="004634C9" w:rsidRDefault="00000000">
      <w:pPr>
        <w:pStyle w:val="4"/>
        <w:spacing w:before="15"/>
        <w:ind w:right="5327"/>
        <w:jc w:val="center"/>
      </w:pPr>
      <w:r>
        <w:rPr>
          <w:color w:val="BE1B1B"/>
        </w:rPr>
        <w:t>规范类强制退市新增三项情形</w:t>
      </w:r>
    </w:p>
    <w:p w14:paraId="1C16BBA8" w14:textId="77777777" w:rsidR="004634C9" w:rsidRDefault="004634C9">
      <w:pPr>
        <w:pStyle w:val="a3"/>
        <w:spacing w:before="1"/>
        <w:rPr>
          <w:b/>
          <w:i/>
          <w:sz w:val="6"/>
        </w:rPr>
      </w:pPr>
    </w:p>
    <w:tbl>
      <w:tblPr>
        <w:tblStyle w:val="TableNormal"/>
        <w:tblW w:w="0" w:type="auto"/>
        <w:tblInd w:w="115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Look w:val="01E0" w:firstRow="1" w:lastRow="1" w:firstColumn="1" w:lastColumn="1" w:noHBand="0" w:noVBand="0"/>
      </w:tblPr>
      <w:tblGrid>
        <w:gridCol w:w="2192"/>
        <w:gridCol w:w="3084"/>
        <w:gridCol w:w="11637"/>
      </w:tblGrid>
      <w:tr w:rsidR="004634C9" w14:paraId="5F7AC985" w14:textId="77777777">
        <w:trPr>
          <w:trHeight w:val="408"/>
        </w:trPr>
        <w:tc>
          <w:tcPr>
            <w:tcW w:w="2192" w:type="dxa"/>
            <w:tcBorders>
              <w:top w:val="nil"/>
              <w:left w:val="nil"/>
              <w:right w:val="single" w:sz="8" w:space="0" w:color="FFFFFF"/>
            </w:tcBorders>
            <w:shd w:val="clear" w:color="auto" w:fill="A40020"/>
          </w:tcPr>
          <w:p w14:paraId="2F29E44D" w14:textId="77777777" w:rsidR="004634C9" w:rsidRDefault="004634C9">
            <w:pPr>
              <w:pStyle w:val="TableParagraph"/>
              <w:rPr>
                <w:rFonts w:ascii="Times New Roman"/>
                <w:sz w:val="30"/>
              </w:rPr>
            </w:pPr>
          </w:p>
        </w:tc>
        <w:tc>
          <w:tcPr>
            <w:tcW w:w="3084" w:type="dxa"/>
            <w:tcBorders>
              <w:top w:val="nil"/>
              <w:left w:val="single" w:sz="8" w:space="0" w:color="FFFFFF"/>
              <w:right w:val="single" w:sz="8" w:space="0" w:color="FFFFFF"/>
            </w:tcBorders>
            <w:shd w:val="clear" w:color="auto" w:fill="A40020"/>
          </w:tcPr>
          <w:p w14:paraId="75282C02" w14:textId="77777777" w:rsidR="004634C9" w:rsidRDefault="00000000">
            <w:pPr>
              <w:pStyle w:val="TableParagraph"/>
              <w:spacing w:line="389" w:lineRule="exact"/>
              <w:ind w:left="241" w:right="222"/>
              <w:jc w:val="center"/>
              <w:rPr>
                <w:rFonts w:ascii="Microsoft JhengHei" w:eastAsia="Microsoft JhengHei"/>
                <w:b/>
                <w:sz w:val="32"/>
              </w:rPr>
            </w:pPr>
            <w:r>
              <w:rPr>
                <w:rFonts w:ascii="Microsoft JhengHei" w:eastAsia="Microsoft JhengHei" w:hint="eastAsia"/>
                <w:b/>
                <w:color w:val="FFFFFF"/>
                <w:sz w:val="32"/>
              </w:rPr>
              <w:t>新增退市情形</w:t>
            </w:r>
          </w:p>
        </w:tc>
        <w:tc>
          <w:tcPr>
            <w:tcW w:w="11637" w:type="dxa"/>
            <w:tcBorders>
              <w:top w:val="nil"/>
              <w:left w:val="single" w:sz="8" w:space="0" w:color="FFFFFF"/>
              <w:right w:val="single" w:sz="8" w:space="0" w:color="FFFFFF"/>
            </w:tcBorders>
            <w:shd w:val="clear" w:color="auto" w:fill="A40020"/>
          </w:tcPr>
          <w:p w14:paraId="212D3C9B" w14:textId="77777777" w:rsidR="004634C9" w:rsidRDefault="00000000">
            <w:pPr>
              <w:pStyle w:val="TableParagraph"/>
              <w:spacing w:line="389" w:lineRule="exact"/>
              <w:ind w:left="5157" w:right="5140"/>
              <w:jc w:val="center"/>
              <w:rPr>
                <w:rFonts w:ascii="Microsoft JhengHei" w:eastAsia="Microsoft JhengHei"/>
                <w:b/>
                <w:sz w:val="32"/>
              </w:rPr>
            </w:pPr>
            <w:r>
              <w:rPr>
                <w:rFonts w:ascii="Microsoft JhengHei" w:eastAsia="Microsoft JhengHei" w:hint="eastAsia"/>
                <w:b/>
                <w:color w:val="FFFFFF"/>
                <w:sz w:val="32"/>
              </w:rPr>
              <w:t>新增内容</w:t>
            </w:r>
          </w:p>
        </w:tc>
      </w:tr>
      <w:tr w:rsidR="004634C9" w14:paraId="7110B560" w14:textId="77777777">
        <w:trPr>
          <w:trHeight w:val="1691"/>
        </w:trPr>
        <w:tc>
          <w:tcPr>
            <w:tcW w:w="2192" w:type="dxa"/>
          </w:tcPr>
          <w:p w14:paraId="0491CA89" w14:textId="77777777" w:rsidR="004634C9" w:rsidRDefault="004634C9">
            <w:pPr>
              <w:pStyle w:val="TableParagraph"/>
              <w:spacing w:before="14"/>
              <w:rPr>
                <w:rFonts w:ascii="微软雅黑"/>
                <w:b/>
                <w:i/>
                <w:sz w:val="35"/>
              </w:rPr>
            </w:pPr>
          </w:p>
          <w:p w14:paraId="6813ADBA" w14:textId="77777777" w:rsidR="004634C9" w:rsidRDefault="00000000">
            <w:pPr>
              <w:pStyle w:val="TableParagraph"/>
              <w:ind w:left="682" w:right="649"/>
              <w:jc w:val="center"/>
              <w:rPr>
                <w:sz w:val="32"/>
              </w:rPr>
            </w:pPr>
            <w:r>
              <w:rPr>
                <w:sz w:val="32"/>
              </w:rPr>
              <w:t>情形1</w:t>
            </w:r>
          </w:p>
        </w:tc>
        <w:tc>
          <w:tcPr>
            <w:tcW w:w="3084" w:type="dxa"/>
          </w:tcPr>
          <w:p w14:paraId="55FCAF1B" w14:textId="77777777" w:rsidR="004634C9" w:rsidRDefault="004634C9">
            <w:pPr>
              <w:pStyle w:val="TableParagraph"/>
              <w:rPr>
                <w:rFonts w:ascii="微软雅黑"/>
                <w:b/>
                <w:i/>
                <w:sz w:val="30"/>
              </w:rPr>
            </w:pPr>
          </w:p>
          <w:p w14:paraId="59D68649" w14:textId="77777777" w:rsidR="004634C9" w:rsidRDefault="00000000">
            <w:pPr>
              <w:pStyle w:val="TableParagraph"/>
              <w:spacing w:before="1"/>
              <w:ind w:left="224" w:right="222"/>
              <w:jc w:val="center"/>
              <w:rPr>
                <w:rFonts w:ascii="Microsoft JhengHei" w:eastAsia="Microsoft JhengHei"/>
                <w:b/>
                <w:sz w:val="32"/>
              </w:rPr>
            </w:pPr>
            <w:r>
              <w:rPr>
                <w:rFonts w:ascii="Microsoft JhengHei" w:eastAsia="Microsoft JhengHei" w:hint="eastAsia"/>
                <w:b/>
                <w:sz w:val="32"/>
              </w:rPr>
              <w:t>控制权无序争夺</w:t>
            </w:r>
          </w:p>
        </w:tc>
        <w:tc>
          <w:tcPr>
            <w:tcW w:w="11637" w:type="dxa"/>
          </w:tcPr>
          <w:p w14:paraId="15EA7271" w14:textId="77777777" w:rsidR="004634C9" w:rsidRDefault="00000000">
            <w:pPr>
              <w:pStyle w:val="TableParagraph"/>
              <w:spacing w:before="17" w:line="249" w:lineRule="auto"/>
              <w:ind w:left="60" w:right="179"/>
              <w:rPr>
                <w:sz w:val="32"/>
              </w:rPr>
            </w:pPr>
            <w:r>
              <w:rPr>
                <w:sz w:val="32"/>
              </w:rPr>
              <w:t>信息披露或者规范运作等方面存在重大缺陷，被本所限期改正但公司未在规定期</w:t>
            </w:r>
            <w:r>
              <w:rPr>
                <w:spacing w:val="-2"/>
                <w:sz w:val="32"/>
              </w:rPr>
              <w:t>限内完成整改，且公司在股票停牌2个月内仍未完成整改；增加一项信息披露或者</w:t>
            </w:r>
          </w:p>
          <w:p w14:paraId="5E351D4F" w14:textId="77777777" w:rsidR="004634C9" w:rsidRDefault="00000000">
            <w:pPr>
              <w:pStyle w:val="TableParagraph"/>
              <w:spacing w:line="406" w:lineRule="exact"/>
              <w:ind w:left="60"/>
              <w:rPr>
                <w:rFonts w:ascii="Microsoft JhengHei" w:eastAsia="Microsoft JhengHei" w:hAnsi="Microsoft JhengHei"/>
                <w:b/>
                <w:sz w:val="32"/>
              </w:rPr>
            </w:pPr>
            <w:r>
              <w:rPr>
                <w:sz w:val="32"/>
              </w:rPr>
              <w:t>规范运作存在重大缺陷退市情形，即“</w:t>
            </w:r>
            <w:r>
              <w:rPr>
                <w:rFonts w:ascii="Microsoft JhengHei" w:eastAsia="Microsoft JhengHei" w:hAnsi="Microsoft JhengHei" w:hint="eastAsia"/>
                <w:b/>
                <w:spacing w:val="15"/>
                <w:sz w:val="32"/>
              </w:rPr>
              <w:t>上市公司控制权无序争夺，导致投资者</w:t>
            </w:r>
          </w:p>
          <w:p w14:paraId="36B24BBF" w14:textId="77777777" w:rsidR="004634C9" w:rsidRDefault="00000000">
            <w:pPr>
              <w:pStyle w:val="TableParagraph"/>
              <w:spacing w:line="395" w:lineRule="exact"/>
              <w:ind w:left="60"/>
              <w:rPr>
                <w:sz w:val="32"/>
              </w:rPr>
            </w:pPr>
            <w:r>
              <w:rPr>
                <w:rFonts w:ascii="Microsoft JhengHei" w:eastAsia="Microsoft JhengHei" w:hAnsi="Microsoft JhengHei" w:hint="eastAsia"/>
                <w:b/>
                <w:sz w:val="32"/>
              </w:rPr>
              <w:t>无法获取公司有效信息</w:t>
            </w:r>
            <w:r>
              <w:rPr>
                <w:sz w:val="32"/>
              </w:rPr>
              <w:t>”。</w:t>
            </w:r>
          </w:p>
        </w:tc>
      </w:tr>
      <w:tr w:rsidR="004634C9" w14:paraId="195F74BC" w14:textId="77777777">
        <w:trPr>
          <w:trHeight w:val="1691"/>
        </w:trPr>
        <w:tc>
          <w:tcPr>
            <w:tcW w:w="2192" w:type="dxa"/>
          </w:tcPr>
          <w:p w14:paraId="290B1FA9" w14:textId="77777777" w:rsidR="004634C9" w:rsidRDefault="004634C9">
            <w:pPr>
              <w:pStyle w:val="TableParagraph"/>
              <w:spacing w:before="14"/>
              <w:rPr>
                <w:rFonts w:ascii="微软雅黑"/>
                <w:b/>
                <w:i/>
                <w:sz w:val="35"/>
              </w:rPr>
            </w:pPr>
          </w:p>
          <w:p w14:paraId="2ACA4C92" w14:textId="77777777" w:rsidR="004634C9" w:rsidRDefault="00000000">
            <w:pPr>
              <w:pStyle w:val="TableParagraph"/>
              <w:ind w:left="682" w:right="649"/>
              <w:jc w:val="center"/>
              <w:rPr>
                <w:sz w:val="32"/>
              </w:rPr>
            </w:pPr>
            <w:r>
              <w:rPr>
                <w:sz w:val="32"/>
              </w:rPr>
              <w:t>情形2</w:t>
            </w:r>
          </w:p>
        </w:tc>
        <w:tc>
          <w:tcPr>
            <w:tcW w:w="3084" w:type="dxa"/>
          </w:tcPr>
          <w:p w14:paraId="2DE83D07" w14:textId="77777777" w:rsidR="004634C9" w:rsidRDefault="004634C9">
            <w:pPr>
              <w:pStyle w:val="TableParagraph"/>
              <w:rPr>
                <w:rFonts w:ascii="微软雅黑"/>
                <w:b/>
                <w:i/>
                <w:sz w:val="30"/>
              </w:rPr>
            </w:pPr>
          </w:p>
          <w:p w14:paraId="417A1407" w14:textId="77777777" w:rsidR="004634C9" w:rsidRDefault="00000000">
            <w:pPr>
              <w:pStyle w:val="TableParagraph"/>
              <w:ind w:left="241" w:right="222"/>
              <w:jc w:val="center"/>
              <w:rPr>
                <w:rFonts w:ascii="Microsoft JhengHei" w:eastAsia="Microsoft JhengHei"/>
                <w:b/>
                <w:sz w:val="32"/>
              </w:rPr>
            </w:pPr>
            <w:r>
              <w:rPr>
                <w:rFonts w:ascii="Microsoft JhengHei" w:eastAsia="Microsoft JhengHei" w:hint="eastAsia"/>
                <w:b/>
                <w:sz w:val="32"/>
              </w:rPr>
              <w:t>控股股东资金占用</w:t>
            </w:r>
          </w:p>
        </w:tc>
        <w:tc>
          <w:tcPr>
            <w:tcW w:w="11637" w:type="dxa"/>
          </w:tcPr>
          <w:p w14:paraId="035F2C42" w14:textId="77777777" w:rsidR="004634C9" w:rsidRDefault="00000000">
            <w:pPr>
              <w:pStyle w:val="TableParagraph"/>
              <w:spacing w:before="72" w:line="199" w:lineRule="auto"/>
              <w:ind w:left="60" w:right="370"/>
              <w:rPr>
                <w:rFonts w:ascii="Microsoft JhengHei" w:eastAsia="Microsoft JhengHei"/>
                <w:b/>
                <w:sz w:val="32"/>
              </w:rPr>
            </w:pPr>
            <w:r>
              <w:rPr>
                <w:sz w:val="32"/>
              </w:rPr>
              <w:t xml:space="preserve">公司被控股股东（无控股股东，则为第一大股东）及其关联方非经营性占用资 </w:t>
            </w:r>
            <w:r>
              <w:rPr>
                <w:w w:val="95"/>
                <w:sz w:val="32"/>
              </w:rPr>
              <w:t>金，</w:t>
            </w:r>
            <w:r>
              <w:rPr>
                <w:rFonts w:ascii="Microsoft JhengHei" w:eastAsia="Microsoft JhengHei" w:hint="eastAsia"/>
                <w:b/>
                <w:spacing w:val="17"/>
                <w:w w:val="95"/>
                <w:sz w:val="32"/>
              </w:rPr>
              <w:t>余额达到最近一期经审计净资产绝对值30%以上，或者金额达到2</w:t>
            </w:r>
            <w:r>
              <w:rPr>
                <w:rFonts w:ascii="Microsoft JhengHei" w:eastAsia="Microsoft JhengHei" w:hint="eastAsia"/>
                <w:b/>
                <w:spacing w:val="11"/>
                <w:w w:val="95"/>
                <w:sz w:val="32"/>
              </w:rPr>
              <w:t>亿元以</w:t>
            </w:r>
          </w:p>
          <w:p w14:paraId="7531A00A" w14:textId="77777777" w:rsidR="004634C9" w:rsidRDefault="00000000">
            <w:pPr>
              <w:pStyle w:val="TableParagraph"/>
              <w:spacing w:line="428" w:lineRule="exact"/>
              <w:ind w:left="60"/>
              <w:rPr>
                <w:sz w:val="32"/>
              </w:rPr>
            </w:pPr>
            <w:r>
              <w:rPr>
                <w:rFonts w:ascii="Microsoft JhengHei" w:eastAsia="Microsoft JhengHei" w:hint="eastAsia"/>
                <w:b/>
                <w:sz w:val="32"/>
              </w:rPr>
              <w:t>上</w:t>
            </w:r>
            <w:r>
              <w:rPr>
                <w:sz w:val="32"/>
              </w:rPr>
              <w:t>，被中国证监会责令改正但公司未在规定期限内改正，此后公司在股票停牌2个</w:t>
            </w:r>
          </w:p>
          <w:p w14:paraId="0BD58517" w14:textId="77777777" w:rsidR="004634C9" w:rsidRDefault="00000000">
            <w:pPr>
              <w:pStyle w:val="TableParagraph"/>
              <w:spacing w:line="343" w:lineRule="exact"/>
              <w:ind w:left="60"/>
              <w:rPr>
                <w:sz w:val="32"/>
              </w:rPr>
            </w:pPr>
            <w:r>
              <w:rPr>
                <w:sz w:val="32"/>
              </w:rPr>
              <w:t>月内仍未改正。</w:t>
            </w:r>
          </w:p>
        </w:tc>
      </w:tr>
      <w:tr w:rsidR="004634C9" w14:paraId="439F5735" w14:textId="77777777">
        <w:trPr>
          <w:trHeight w:val="835"/>
        </w:trPr>
        <w:tc>
          <w:tcPr>
            <w:tcW w:w="2192" w:type="dxa"/>
          </w:tcPr>
          <w:p w14:paraId="7E0E1EAB" w14:textId="77777777" w:rsidR="004634C9" w:rsidRDefault="00000000">
            <w:pPr>
              <w:pStyle w:val="TableParagraph"/>
              <w:spacing w:before="231"/>
              <w:ind w:left="682" w:right="649"/>
              <w:jc w:val="center"/>
              <w:rPr>
                <w:sz w:val="32"/>
              </w:rPr>
            </w:pPr>
            <w:r>
              <w:rPr>
                <w:sz w:val="32"/>
              </w:rPr>
              <w:t>情形3</w:t>
            </w:r>
          </w:p>
        </w:tc>
        <w:tc>
          <w:tcPr>
            <w:tcW w:w="3084" w:type="dxa"/>
          </w:tcPr>
          <w:p w14:paraId="7EBB862C" w14:textId="77777777" w:rsidR="004634C9" w:rsidRDefault="00000000">
            <w:pPr>
              <w:pStyle w:val="TableParagraph"/>
              <w:spacing w:before="126"/>
              <w:ind w:left="241" w:right="222"/>
              <w:jc w:val="center"/>
              <w:rPr>
                <w:rFonts w:ascii="Microsoft JhengHei" w:eastAsia="Microsoft JhengHei"/>
                <w:b/>
                <w:sz w:val="32"/>
              </w:rPr>
            </w:pPr>
            <w:r>
              <w:rPr>
                <w:rFonts w:ascii="Microsoft JhengHei" w:eastAsia="Microsoft JhengHei" w:hint="eastAsia"/>
                <w:b/>
                <w:sz w:val="32"/>
              </w:rPr>
              <w:t>内控非标审计意见</w:t>
            </w:r>
          </w:p>
        </w:tc>
        <w:tc>
          <w:tcPr>
            <w:tcW w:w="11637" w:type="dxa"/>
          </w:tcPr>
          <w:p w14:paraId="7B173028" w14:textId="77777777" w:rsidR="004634C9" w:rsidRDefault="00000000">
            <w:pPr>
              <w:pStyle w:val="TableParagraph"/>
              <w:spacing w:before="7" w:line="420" w:lineRule="atLeast"/>
              <w:ind w:left="60" w:right="181"/>
              <w:rPr>
                <w:sz w:val="32"/>
              </w:rPr>
            </w:pPr>
            <w:r>
              <w:rPr>
                <w:sz w:val="32"/>
              </w:rPr>
              <w:t>连续2个会计年度的财务报告内部控制被出具无法表示意见或者否定意见的审计报告，或者未按照规定披露财务报告内部控制审计报告。</w:t>
            </w:r>
          </w:p>
        </w:tc>
      </w:tr>
    </w:tbl>
    <w:p w14:paraId="52E15CA7" w14:textId="77777777" w:rsidR="004634C9" w:rsidRDefault="00000000">
      <w:pPr>
        <w:spacing w:before="67"/>
        <w:ind w:left="1278"/>
        <w:rPr>
          <w:sz w:val="28"/>
        </w:rPr>
      </w:pPr>
      <w:r>
        <w:rPr>
          <w:color w:val="7E7E7E"/>
          <w:sz w:val="28"/>
        </w:rPr>
        <w:t>资料来源：上交所，深交所，北交所，万联证券研究所</w:t>
      </w:r>
    </w:p>
    <w:p w14:paraId="2AAC48B0" w14:textId="77777777" w:rsidR="004634C9" w:rsidRDefault="004634C9">
      <w:pPr>
        <w:rPr>
          <w:sz w:val="28"/>
        </w:rPr>
        <w:sectPr w:rsidR="004634C9">
          <w:pgSz w:w="19200" w:h="10800" w:orient="landscape"/>
          <w:pgMar w:top="1200" w:right="0" w:bottom="280" w:left="0" w:header="523" w:footer="0" w:gutter="0"/>
          <w:cols w:space="720"/>
        </w:sectPr>
      </w:pPr>
    </w:p>
    <w:p w14:paraId="2E6D4F7F" w14:textId="77777777" w:rsidR="004634C9" w:rsidRDefault="00000000">
      <w:pPr>
        <w:pStyle w:val="a3"/>
        <w:spacing w:before="11"/>
        <w:rPr>
          <w:sz w:val="11"/>
        </w:rPr>
      </w:pPr>
      <w:r>
        <w:rPr>
          <w:noProof/>
        </w:rPr>
        <w:lastRenderedPageBreak/>
        <w:drawing>
          <wp:anchor distT="0" distB="0" distL="0" distR="0" simplePos="0" relativeHeight="251790336" behindDoc="0" locked="0" layoutInCell="1" allowOverlap="1" wp14:anchorId="1268DE6E" wp14:editId="5C29EFCF">
            <wp:simplePos x="0" y="0"/>
            <wp:positionH relativeFrom="page">
              <wp:posOffset>9552431</wp:posOffset>
            </wp:positionH>
            <wp:positionV relativeFrom="page">
              <wp:posOffset>332231</wp:posOffset>
            </wp:positionV>
            <wp:extent cx="2231135" cy="438911"/>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2" cstate="print"/>
                    <a:stretch>
                      <a:fillRect/>
                    </a:stretch>
                  </pic:blipFill>
                  <pic:spPr>
                    <a:xfrm>
                      <a:off x="0" y="0"/>
                      <a:ext cx="2231135" cy="438911"/>
                    </a:xfrm>
                    <a:prstGeom prst="rect">
                      <a:avLst/>
                    </a:prstGeom>
                  </pic:spPr>
                </pic:pic>
              </a:graphicData>
            </a:graphic>
          </wp:anchor>
        </w:drawing>
      </w:r>
      <w:r>
        <w:pict w14:anchorId="4FE1CDD6">
          <v:group id="_x0000_s2072" style="position:absolute;margin-left:31.2pt;margin-top:26.15pt;width:52.95pt;height:28.45pt;z-index:251791360;mso-position-horizontal-relative:page;mso-position-vertical-relative:page" coordorigin="624,523" coordsize="1059,569">
            <v:shape id="_x0000_s2074" style="position:absolute;left:624;top:535;width:586;height:557" coordorigin="624,535" coordsize="586,557" path="m931,535r-307,l902,814,624,1092r307,l1210,814,931,535xe" fillcolor="#be1b1b" stroked="f">
              <v:path arrowok="t"/>
            </v:shape>
            <v:shape id="_x0000_s2073" style="position:absolute;left:1096;top:523;width:586;height:557" coordorigin="1097,523" coordsize="586,557" path="m1404,523r-307,l1375,802r-278,278l1404,1080,1682,802,1404,523xe" fillcolor="#d9d9d9" stroked="f">
              <v:path arrowok="t"/>
            </v:shape>
            <w10:wrap anchorx="page" anchory="page"/>
          </v:group>
        </w:pict>
      </w:r>
      <w:r>
        <w:pict w14:anchorId="24A26B54">
          <v:shape id="_x0000_s2071" style="position:absolute;margin-left:91.25pt;margin-top:33.9pt;width:26.5pt;height:14.65pt;z-index:251792384;mso-position-horizontal-relative:page;mso-position-vertical-relative:page" coordorigin="1825,678" coordsize="530,293" o:spt="100" adj="0,,0" path="m1879,887r-54,5l1828,909r7,16l1843,938r12,12l1868,959r15,7l1900,970r19,1l1943,969r21,-7l1982,950r15,-17l2001,927r-91,l1901,923r-15,-14l1881,899r-2,-12xm2005,818r-74,l1941,822r8,9l1954,839r4,9l1960,859r1,12l1960,884r-2,12l1954,905r-5,8l1941,922r-10,5l2001,927r5,-8l2012,903r4,-16l2018,870r-2,-20l2011,831r-6,-13xm2005,683r-146,l1831,833r45,6l1886,830r10,-7l1907,819r11,-1l2005,818r-2,-3l1992,801r-13,-12l1968,783r-76,l1901,735r104,l2005,683xm1930,774r-13,l1905,777r-13,6l1968,783r-4,-2l1948,776r-18,-2xm2114,911r-55,l2059,966r55,l2114,911xm2318,908r-53,l2265,966r53,l2318,908xm2318,678r-46,l2148,860r,48l2354,908r,-48l2199,860r66,-98l2318,762r,-84xm2318,762r-53,l2265,860r53,l2318,762xe" fillcolor="#0d0d0d" stroked="f">
            <v:stroke joinstyle="round"/>
            <v:formulas/>
            <v:path arrowok="t" o:connecttype="segments"/>
            <w10:wrap anchorx="page" anchory="page"/>
          </v:shape>
        </w:pict>
      </w:r>
      <w:r>
        <w:rPr>
          <w:noProof/>
        </w:rPr>
        <w:drawing>
          <wp:anchor distT="0" distB="0" distL="0" distR="0" simplePos="0" relativeHeight="251793408" behindDoc="0" locked="0" layoutInCell="1" allowOverlap="1" wp14:anchorId="05FC2E2A" wp14:editId="3683C106">
            <wp:simplePos x="0" y="0"/>
            <wp:positionH relativeFrom="page">
              <wp:posOffset>1573149</wp:posOffset>
            </wp:positionH>
            <wp:positionV relativeFrom="page">
              <wp:posOffset>400431</wp:posOffset>
            </wp:positionV>
            <wp:extent cx="5078603" cy="249047"/>
            <wp:effectExtent l="0" t="0" r="0" b="0"/>
            <wp:wrapNone/>
            <wp:docPr id="9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5.png"/>
                    <pic:cNvPicPr/>
                  </pic:nvPicPr>
                  <pic:blipFill>
                    <a:blip r:embed="rId53" cstate="print"/>
                    <a:stretch>
                      <a:fillRect/>
                    </a:stretch>
                  </pic:blipFill>
                  <pic:spPr>
                    <a:xfrm>
                      <a:off x="0" y="0"/>
                      <a:ext cx="5078603" cy="249047"/>
                    </a:xfrm>
                    <a:prstGeom prst="rect">
                      <a:avLst/>
                    </a:prstGeom>
                  </pic:spPr>
                </pic:pic>
              </a:graphicData>
            </a:graphic>
          </wp:anchor>
        </w:drawing>
      </w:r>
    </w:p>
    <w:p w14:paraId="328F8085" w14:textId="77777777" w:rsidR="004634C9" w:rsidRDefault="00000000">
      <w:pPr>
        <w:pStyle w:val="a4"/>
        <w:numPr>
          <w:ilvl w:val="0"/>
          <w:numId w:val="7"/>
        </w:numPr>
        <w:tabs>
          <w:tab w:val="left" w:pos="1256"/>
        </w:tabs>
        <w:spacing w:before="16"/>
        <w:ind w:left="1255" w:hanging="317"/>
        <w:rPr>
          <w:b/>
          <w:i/>
          <w:sz w:val="32"/>
        </w:rPr>
      </w:pPr>
      <w:bookmarkStart w:id="29" w:name="幻灯片_30"/>
      <w:bookmarkEnd w:id="29"/>
      <w:r>
        <w:rPr>
          <w:b/>
          <w:i/>
          <w:sz w:val="32"/>
        </w:rPr>
        <w:t>北交所新增财务造假重大违法情形，与沪深交易所统一。</w:t>
      </w:r>
      <w:r>
        <w:rPr>
          <w:sz w:val="32"/>
        </w:rPr>
        <w:t>新规相比沪深交易所的旧规而言，</w:t>
      </w:r>
      <w:r>
        <w:rPr>
          <w:b/>
          <w:i/>
          <w:sz w:val="32"/>
        </w:rPr>
        <w:t>调低了财务造假退市的年限、</w:t>
      </w:r>
    </w:p>
    <w:p w14:paraId="46424FCC" w14:textId="77777777" w:rsidR="004634C9" w:rsidRDefault="00000000">
      <w:pPr>
        <w:spacing w:line="538" w:lineRule="exact"/>
        <w:ind w:left="1211"/>
        <w:rPr>
          <w:sz w:val="32"/>
        </w:rPr>
      </w:pPr>
      <w:r>
        <w:rPr>
          <w:b/>
          <w:i/>
          <w:sz w:val="32"/>
        </w:rPr>
        <w:t>金额和比例，增加了多年连续造假退市情形，</w:t>
      </w:r>
      <w:r>
        <w:rPr>
          <w:sz w:val="32"/>
        </w:rPr>
        <w:t>进一步严肃市场纪律。</w:t>
      </w:r>
    </w:p>
    <w:p w14:paraId="78FC2B02" w14:textId="77777777" w:rsidR="004634C9" w:rsidRDefault="00000000">
      <w:pPr>
        <w:pStyle w:val="a4"/>
        <w:numPr>
          <w:ilvl w:val="0"/>
          <w:numId w:val="7"/>
        </w:numPr>
        <w:tabs>
          <w:tab w:val="left" w:pos="1256"/>
        </w:tabs>
        <w:spacing w:line="538" w:lineRule="exact"/>
        <w:ind w:left="1255" w:hanging="317"/>
        <w:rPr>
          <w:sz w:val="32"/>
        </w:rPr>
      </w:pPr>
      <w:r>
        <w:rPr>
          <w:sz w:val="32"/>
        </w:rPr>
        <w:t>对比旧版财务造假退市“</w:t>
      </w:r>
      <w:r>
        <w:rPr>
          <w:rFonts w:ascii="Arial" w:eastAsia="Arial" w:hAnsi="Arial"/>
          <w:sz w:val="32"/>
        </w:rPr>
        <w:t>2</w:t>
      </w:r>
      <w:r>
        <w:rPr>
          <w:sz w:val="32"/>
        </w:rPr>
        <w:t>年</w:t>
      </w:r>
      <w:r>
        <w:rPr>
          <w:rFonts w:ascii="Arial" w:eastAsia="Arial" w:hAnsi="Arial"/>
          <w:sz w:val="32"/>
        </w:rPr>
        <w:t>/5</w:t>
      </w:r>
      <w:r>
        <w:rPr>
          <w:sz w:val="32"/>
        </w:rPr>
        <w:t>亿</w:t>
      </w:r>
      <w:r>
        <w:rPr>
          <w:rFonts w:ascii="Arial" w:eastAsia="Arial" w:hAnsi="Arial"/>
          <w:sz w:val="32"/>
        </w:rPr>
        <w:t>/50%”</w:t>
      </w:r>
      <w:r>
        <w:rPr>
          <w:sz w:val="32"/>
        </w:rPr>
        <w:t>的标准，新版区分三个层次，即“</w:t>
      </w:r>
      <w:r>
        <w:rPr>
          <w:rFonts w:ascii="Arial" w:eastAsia="Arial" w:hAnsi="Arial"/>
          <w:sz w:val="32"/>
        </w:rPr>
        <w:t>1</w:t>
      </w:r>
      <w:r>
        <w:rPr>
          <w:sz w:val="32"/>
        </w:rPr>
        <w:t>年</w:t>
      </w:r>
      <w:r>
        <w:rPr>
          <w:rFonts w:ascii="Arial" w:eastAsia="Arial" w:hAnsi="Arial"/>
          <w:sz w:val="32"/>
        </w:rPr>
        <w:t>/2</w:t>
      </w:r>
      <w:r>
        <w:rPr>
          <w:sz w:val="32"/>
        </w:rPr>
        <w:t>亿</w:t>
      </w:r>
      <w:r>
        <w:rPr>
          <w:rFonts w:ascii="Arial" w:eastAsia="Arial" w:hAnsi="Arial"/>
          <w:sz w:val="32"/>
        </w:rPr>
        <w:t>/30%”</w:t>
      </w:r>
      <w:r>
        <w:rPr>
          <w:sz w:val="32"/>
        </w:rPr>
        <w:t>、“</w:t>
      </w:r>
      <w:r>
        <w:rPr>
          <w:rFonts w:ascii="Arial" w:eastAsia="Arial" w:hAnsi="Arial"/>
          <w:sz w:val="32"/>
        </w:rPr>
        <w:t>2</w:t>
      </w:r>
      <w:r>
        <w:rPr>
          <w:sz w:val="32"/>
        </w:rPr>
        <w:t>年</w:t>
      </w:r>
      <w:r>
        <w:rPr>
          <w:rFonts w:ascii="Arial" w:eastAsia="Arial" w:hAnsi="Arial"/>
          <w:sz w:val="32"/>
        </w:rPr>
        <w:t>/3</w:t>
      </w:r>
      <w:r>
        <w:rPr>
          <w:sz w:val="32"/>
        </w:rPr>
        <w:t>亿</w:t>
      </w:r>
      <w:r>
        <w:rPr>
          <w:rFonts w:ascii="Arial" w:eastAsia="Arial" w:hAnsi="Arial"/>
          <w:sz w:val="32"/>
        </w:rPr>
        <w:t>/20%”</w:t>
      </w:r>
      <w:r>
        <w:rPr>
          <w:sz w:val="32"/>
        </w:rPr>
        <w:t>、“</w:t>
      </w:r>
      <w:r>
        <w:rPr>
          <w:rFonts w:ascii="Arial" w:eastAsia="Arial" w:hAnsi="Arial"/>
          <w:sz w:val="32"/>
        </w:rPr>
        <w:t>3</w:t>
      </w:r>
      <w:r>
        <w:rPr>
          <w:sz w:val="32"/>
        </w:rPr>
        <w:t>年”。</w:t>
      </w:r>
    </w:p>
    <w:p w14:paraId="7D0AED20" w14:textId="77777777" w:rsidR="004634C9" w:rsidRDefault="00000000">
      <w:pPr>
        <w:pStyle w:val="a4"/>
        <w:numPr>
          <w:ilvl w:val="0"/>
          <w:numId w:val="7"/>
        </w:numPr>
        <w:tabs>
          <w:tab w:val="left" w:pos="1256"/>
        </w:tabs>
        <w:spacing w:before="12" w:line="218" w:lineRule="auto"/>
        <w:ind w:right="893" w:hanging="272"/>
        <w:rPr>
          <w:sz w:val="32"/>
        </w:rPr>
      </w:pPr>
      <w:r>
        <w:rPr>
          <w:w w:val="95"/>
          <w:sz w:val="32"/>
        </w:rPr>
        <w:t>在</w:t>
      </w:r>
      <w:r>
        <w:rPr>
          <w:rFonts w:ascii="Arial" w:eastAsia="Arial" w:hAnsi="Arial"/>
          <w:w w:val="95"/>
          <w:sz w:val="32"/>
        </w:rPr>
        <w:t>2023</w:t>
      </w:r>
      <w:r>
        <w:rPr>
          <w:w w:val="95"/>
          <w:sz w:val="32"/>
        </w:rPr>
        <w:t>年</w:t>
      </w:r>
      <w:r>
        <w:rPr>
          <w:rFonts w:ascii="Arial" w:eastAsia="Arial" w:hAnsi="Arial"/>
          <w:w w:val="95"/>
          <w:sz w:val="32"/>
        </w:rPr>
        <w:t>9</w:t>
      </w:r>
      <w:r>
        <w:rPr>
          <w:w w:val="95"/>
          <w:sz w:val="32"/>
        </w:rPr>
        <w:t>月</w:t>
      </w:r>
      <w:r>
        <w:rPr>
          <w:rFonts w:ascii="Arial" w:eastAsia="Arial" w:hAnsi="Arial"/>
          <w:w w:val="95"/>
          <w:sz w:val="32"/>
        </w:rPr>
        <w:t>4</w:t>
      </w:r>
      <w:r>
        <w:rPr>
          <w:spacing w:val="-1"/>
          <w:w w:val="95"/>
          <w:sz w:val="32"/>
        </w:rPr>
        <w:t xml:space="preserve">日施行的北交所上市规则中，退市的北交所企业如果符合新三板的挂牌条件，可进入基础层甚至创新层，而       </w:t>
      </w:r>
      <w:r>
        <w:rPr>
          <w:sz w:val="32"/>
        </w:rPr>
        <w:t>本次规则修订，明确北交所退市将和沪深交易所一样全部退入退市板。这有利于维护新三板市场的秩序。</w:t>
      </w:r>
    </w:p>
    <w:p w14:paraId="2737D924" w14:textId="77777777" w:rsidR="004634C9" w:rsidRDefault="00000000">
      <w:pPr>
        <w:pStyle w:val="4"/>
        <w:spacing w:before="239"/>
        <w:ind w:left="6012"/>
      </w:pPr>
      <w:r>
        <w:rPr>
          <w:noProof/>
        </w:rPr>
        <w:drawing>
          <wp:anchor distT="0" distB="0" distL="0" distR="0" simplePos="0" relativeHeight="128" behindDoc="0" locked="0" layoutInCell="1" allowOverlap="1" wp14:anchorId="7790CCC2" wp14:editId="090C168E">
            <wp:simplePos x="0" y="0"/>
            <wp:positionH relativeFrom="page">
              <wp:posOffset>260604</wp:posOffset>
            </wp:positionH>
            <wp:positionV relativeFrom="paragraph">
              <wp:posOffset>574512</wp:posOffset>
            </wp:positionV>
            <wp:extent cx="11657881" cy="2571750"/>
            <wp:effectExtent l="0" t="0" r="0" b="0"/>
            <wp:wrapTopAndBottom/>
            <wp:docPr id="9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6.png"/>
                    <pic:cNvPicPr/>
                  </pic:nvPicPr>
                  <pic:blipFill>
                    <a:blip r:embed="rId54" cstate="print"/>
                    <a:stretch>
                      <a:fillRect/>
                    </a:stretch>
                  </pic:blipFill>
                  <pic:spPr>
                    <a:xfrm>
                      <a:off x="0" y="0"/>
                      <a:ext cx="11657881" cy="2571750"/>
                    </a:xfrm>
                    <a:prstGeom prst="rect">
                      <a:avLst/>
                    </a:prstGeom>
                  </pic:spPr>
                </pic:pic>
              </a:graphicData>
            </a:graphic>
          </wp:anchor>
        </w:drawing>
      </w:r>
      <w:r>
        <w:rPr>
          <w:color w:val="BE1B1B"/>
        </w:rPr>
        <w:t>北交所与沪深交易所财务造假重大违法退市规则对比</w:t>
      </w:r>
    </w:p>
    <w:p w14:paraId="2491FEF0" w14:textId="77777777" w:rsidR="004634C9" w:rsidRDefault="00000000">
      <w:pPr>
        <w:spacing w:before="76"/>
        <w:ind w:left="825"/>
        <w:rPr>
          <w:sz w:val="28"/>
        </w:rPr>
      </w:pPr>
      <w:r>
        <w:rPr>
          <w:color w:val="7E7E7E"/>
          <w:sz w:val="28"/>
        </w:rPr>
        <w:t>资料来源：上交所，深交所，北交所，万联证券研究所</w:t>
      </w:r>
    </w:p>
    <w:p w14:paraId="0FEE1442" w14:textId="77777777" w:rsidR="004634C9" w:rsidRDefault="004634C9">
      <w:pPr>
        <w:rPr>
          <w:sz w:val="28"/>
        </w:rPr>
        <w:sectPr w:rsidR="004634C9">
          <w:pgSz w:w="19200" w:h="10800" w:orient="landscape"/>
          <w:pgMar w:top="1200" w:right="0" w:bottom="280" w:left="0" w:header="523" w:footer="0" w:gutter="0"/>
          <w:cols w:space="720"/>
        </w:sectPr>
      </w:pPr>
    </w:p>
    <w:p w14:paraId="3B8BDE00" w14:textId="77777777" w:rsidR="004634C9" w:rsidRDefault="00000000">
      <w:pPr>
        <w:pStyle w:val="a3"/>
        <w:spacing w:before="11"/>
        <w:rPr>
          <w:sz w:val="11"/>
        </w:rPr>
      </w:pPr>
      <w:r>
        <w:lastRenderedPageBreak/>
        <w:pict w14:anchorId="2FCA049A">
          <v:shape id="_x0000_s2070" style="position:absolute;margin-left:91.25pt;margin-top:34.15pt;width:26.35pt;height:14.4pt;z-index:251795456;mso-position-horizontal-relative:page;mso-position-vertical-relative:page" coordorigin="1825,683" coordsize="527,288" o:spt="100" adj="0,,0" path="m1879,887r-54,5l1828,909r7,16l1843,938r12,12l1868,959r15,7l1900,970r19,1l1943,969r21,-7l1982,950r15,-17l2001,927r-91,l1901,923r-15,-14l1881,899r-2,-12xm2005,818r-74,l1941,822r8,9l1954,839r4,9l1960,859r1,12l1960,884r-2,12l1954,905r-5,8l1941,922r-10,5l2001,927r5,-8l2012,903r4,-16l2018,870r-2,-20l2011,831r-6,-13xm2005,683r-146,l1831,833r45,6l1886,830r10,-7l1907,819r11,-1l2005,818r-2,-3l1992,801r-13,-12l1968,783r-76,l1901,735r104,l2005,683xm1930,774r-13,l1905,777r-13,6l1968,783r-4,-2l1948,776r-18,-2xm2114,911r-55,l2059,966r55,l2114,911xm2213,887r-55,5l2162,909r6,16l2177,938r11,12l2202,959r15,7l2234,970r19,1l2276,969r21,-7l2315,950r16,-17l2334,927r-91,l2235,923r-8,-7l2219,909r-4,-10l2213,887xm2338,818r-73,l2275,822r8,9l2288,839r4,9l2294,859r1,12l2294,884r-2,12l2288,905r-5,8l2275,922r-10,5l2334,927r6,-8l2346,903r4,-16l2351,870r-1,-20l2345,831r-7,-13xm2338,683r-145,l2165,833r44,6l2219,830r10,-7l2240,819r12,-1l2338,818r-1,-3l2326,801r-14,-12l2302,783r-76,l2235,735r103,l2338,683xm2264,774r-13,l2238,777r-12,6l2302,783r-5,-2l2281,776r-17,-2xe" fillcolor="#0d0d0d" stroked="f">
            <v:stroke joinstyle="round"/>
            <v:formulas/>
            <v:path arrowok="t" o:connecttype="segments"/>
            <w10:wrap anchorx="page" anchory="page"/>
          </v:shape>
        </w:pict>
      </w:r>
      <w:r>
        <w:rPr>
          <w:noProof/>
        </w:rPr>
        <w:drawing>
          <wp:anchor distT="0" distB="0" distL="0" distR="0" simplePos="0" relativeHeight="251796480" behindDoc="0" locked="0" layoutInCell="1" allowOverlap="1" wp14:anchorId="741F5891" wp14:editId="71959D99">
            <wp:simplePos x="0" y="0"/>
            <wp:positionH relativeFrom="page">
              <wp:posOffset>1585341</wp:posOffset>
            </wp:positionH>
            <wp:positionV relativeFrom="page">
              <wp:posOffset>400684</wp:posOffset>
            </wp:positionV>
            <wp:extent cx="4425315" cy="249809"/>
            <wp:effectExtent l="0" t="0" r="0" b="0"/>
            <wp:wrapNone/>
            <wp:docPr id="9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7.png"/>
                    <pic:cNvPicPr/>
                  </pic:nvPicPr>
                  <pic:blipFill>
                    <a:blip r:embed="rId55" cstate="print"/>
                    <a:stretch>
                      <a:fillRect/>
                    </a:stretch>
                  </pic:blipFill>
                  <pic:spPr>
                    <a:xfrm>
                      <a:off x="0" y="0"/>
                      <a:ext cx="4425315" cy="249809"/>
                    </a:xfrm>
                    <a:prstGeom prst="rect">
                      <a:avLst/>
                    </a:prstGeom>
                  </pic:spPr>
                </pic:pic>
              </a:graphicData>
            </a:graphic>
          </wp:anchor>
        </w:drawing>
      </w:r>
    </w:p>
    <w:p w14:paraId="7FD07E69" w14:textId="77777777" w:rsidR="004634C9" w:rsidRDefault="00000000">
      <w:pPr>
        <w:pStyle w:val="4"/>
        <w:numPr>
          <w:ilvl w:val="0"/>
          <w:numId w:val="7"/>
        </w:numPr>
        <w:tabs>
          <w:tab w:val="left" w:pos="1256"/>
        </w:tabs>
        <w:spacing w:before="16" w:line="564" w:lineRule="exact"/>
        <w:ind w:left="1255" w:hanging="317"/>
      </w:pPr>
      <w:bookmarkStart w:id="30" w:name="幻灯片_31"/>
      <w:bookmarkEnd w:id="30"/>
      <w:r>
        <w:t>加强并购重组监管，强化主业相关性，严把注入资产质量关，加大对‘借壳上市’的监管力度，精准打击各类违规‘保壳’</w:t>
      </w:r>
    </w:p>
    <w:p w14:paraId="7C8E8F3B" w14:textId="77777777" w:rsidR="004634C9" w:rsidRDefault="00000000">
      <w:pPr>
        <w:spacing w:line="538" w:lineRule="exact"/>
        <w:ind w:left="1211"/>
        <w:rPr>
          <w:b/>
          <w:i/>
          <w:sz w:val="32"/>
        </w:rPr>
      </w:pPr>
      <w:r>
        <w:rPr>
          <w:b/>
          <w:i/>
          <w:sz w:val="32"/>
        </w:rPr>
        <w:t>行为，进一步削减‘壳’资源价值。</w:t>
      </w:r>
    </w:p>
    <w:p w14:paraId="0419CBD7" w14:textId="77777777" w:rsidR="004634C9" w:rsidRDefault="00000000">
      <w:pPr>
        <w:pStyle w:val="a4"/>
        <w:numPr>
          <w:ilvl w:val="0"/>
          <w:numId w:val="7"/>
        </w:numPr>
        <w:tabs>
          <w:tab w:val="left" w:pos="1256"/>
        </w:tabs>
        <w:spacing w:before="12" w:line="218" w:lineRule="auto"/>
        <w:ind w:right="994" w:hanging="272"/>
        <w:rPr>
          <w:b/>
          <w:i/>
          <w:sz w:val="32"/>
        </w:rPr>
      </w:pPr>
      <w:r>
        <w:rPr>
          <w:b/>
          <w:i/>
          <w:spacing w:val="-1"/>
          <w:w w:val="95"/>
          <w:sz w:val="32"/>
        </w:rPr>
        <w:t xml:space="preserve">总体看，新规将打击劣质公司通过跨行业并购重组实现“保壳”的行为，但不影响优质企业在本产业链上下游进行高协同       </w:t>
      </w:r>
      <w:r>
        <w:rPr>
          <w:b/>
          <w:i/>
          <w:sz w:val="32"/>
        </w:rPr>
        <w:t>性的并购。</w:t>
      </w:r>
    </w:p>
    <w:p w14:paraId="6CAD9EE4" w14:textId="77777777" w:rsidR="004634C9" w:rsidRDefault="00000000">
      <w:pPr>
        <w:spacing w:before="70"/>
        <w:ind w:left="5509" w:right="4923"/>
        <w:jc w:val="center"/>
        <w:rPr>
          <w:b/>
          <w:i/>
          <w:sz w:val="32"/>
        </w:rPr>
      </w:pPr>
      <w:r>
        <w:rPr>
          <w:noProof/>
        </w:rPr>
        <w:drawing>
          <wp:anchor distT="0" distB="0" distL="0" distR="0" simplePos="0" relativeHeight="133" behindDoc="0" locked="0" layoutInCell="1" allowOverlap="1" wp14:anchorId="13CBD837" wp14:editId="0E328389">
            <wp:simplePos x="0" y="0"/>
            <wp:positionH relativeFrom="page">
              <wp:posOffset>521208</wp:posOffset>
            </wp:positionH>
            <wp:positionV relativeFrom="paragraph">
              <wp:posOffset>484215</wp:posOffset>
            </wp:positionV>
            <wp:extent cx="11159591" cy="2860357"/>
            <wp:effectExtent l="0" t="0" r="0" b="0"/>
            <wp:wrapTopAndBottom/>
            <wp:docPr id="1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8.png"/>
                    <pic:cNvPicPr/>
                  </pic:nvPicPr>
                  <pic:blipFill>
                    <a:blip r:embed="rId56" cstate="print"/>
                    <a:stretch>
                      <a:fillRect/>
                    </a:stretch>
                  </pic:blipFill>
                  <pic:spPr>
                    <a:xfrm>
                      <a:off x="0" y="0"/>
                      <a:ext cx="11159591" cy="2860357"/>
                    </a:xfrm>
                    <a:prstGeom prst="rect">
                      <a:avLst/>
                    </a:prstGeom>
                  </pic:spPr>
                </pic:pic>
              </a:graphicData>
            </a:graphic>
          </wp:anchor>
        </w:drawing>
      </w:r>
      <w:r>
        <w:rPr>
          <w:b/>
          <w:i/>
          <w:color w:val="BE1B1B"/>
          <w:sz w:val="32"/>
        </w:rPr>
        <w:t>重大资产重组审核规则变化跨市场对比</w:t>
      </w:r>
    </w:p>
    <w:p w14:paraId="5BB57BF9" w14:textId="77777777" w:rsidR="004634C9" w:rsidRDefault="00000000">
      <w:pPr>
        <w:spacing w:before="43"/>
        <w:ind w:left="825"/>
        <w:rPr>
          <w:sz w:val="28"/>
        </w:rPr>
      </w:pPr>
      <w:r>
        <w:rPr>
          <w:color w:val="7E7E7E"/>
          <w:sz w:val="28"/>
        </w:rPr>
        <w:t>资料来源：上交所，深交所，北交所，万联证券研究所</w:t>
      </w:r>
    </w:p>
    <w:p w14:paraId="5C61F611" w14:textId="77777777" w:rsidR="004634C9" w:rsidRDefault="004634C9">
      <w:pPr>
        <w:rPr>
          <w:sz w:val="28"/>
        </w:rPr>
        <w:sectPr w:rsidR="004634C9">
          <w:headerReference w:type="default" r:id="rId57"/>
          <w:pgSz w:w="19200" w:h="10800" w:orient="landscape"/>
          <w:pgMar w:top="1200" w:right="0" w:bottom="280" w:left="0" w:header="523" w:footer="0" w:gutter="0"/>
          <w:cols w:space="720"/>
        </w:sectPr>
      </w:pPr>
    </w:p>
    <w:p w14:paraId="3529D89F" w14:textId="77777777" w:rsidR="004634C9" w:rsidRDefault="004634C9">
      <w:pPr>
        <w:pStyle w:val="a3"/>
        <w:rPr>
          <w:sz w:val="20"/>
        </w:rPr>
      </w:pPr>
    </w:p>
    <w:p w14:paraId="21681B90" w14:textId="77777777" w:rsidR="004634C9" w:rsidRDefault="004634C9">
      <w:pPr>
        <w:pStyle w:val="a3"/>
        <w:rPr>
          <w:sz w:val="20"/>
        </w:rPr>
      </w:pPr>
    </w:p>
    <w:p w14:paraId="31F627F3" w14:textId="77777777" w:rsidR="004634C9" w:rsidRDefault="004634C9">
      <w:pPr>
        <w:pStyle w:val="a3"/>
        <w:rPr>
          <w:sz w:val="20"/>
        </w:rPr>
      </w:pPr>
    </w:p>
    <w:p w14:paraId="4B675770" w14:textId="77777777" w:rsidR="004634C9" w:rsidRDefault="004634C9">
      <w:pPr>
        <w:pStyle w:val="a3"/>
        <w:rPr>
          <w:sz w:val="20"/>
        </w:rPr>
      </w:pPr>
    </w:p>
    <w:p w14:paraId="56924C70" w14:textId="77777777" w:rsidR="004634C9" w:rsidRDefault="004634C9">
      <w:pPr>
        <w:pStyle w:val="a3"/>
        <w:rPr>
          <w:sz w:val="20"/>
        </w:rPr>
      </w:pPr>
    </w:p>
    <w:p w14:paraId="458B3BFB" w14:textId="77777777" w:rsidR="004634C9" w:rsidRDefault="004634C9">
      <w:pPr>
        <w:pStyle w:val="a3"/>
        <w:spacing w:before="17"/>
        <w:rPr>
          <w:sz w:val="26"/>
        </w:rPr>
      </w:pPr>
    </w:p>
    <w:p w14:paraId="0988D71E" w14:textId="77777777" w:rsidR="004634C9" w:rsidRDefault="00000000">
      <w:pPr>
        <w:pStyle w:val="1"/>
        <w:tabs>
          <w:tab w:val="left" w:pos="2177"/>
          <w:tab w:val="left" w:pos="19199"/>
        </w:tabs>
      </w:pPr>
      <w:bookmarkStart w:id="31" w:name="幻灯片_32:_6.交易：强化交易监管，吸引资金入市"/>
      <w:bookmarkEnd w:id="31"/>
      <w:r>
        <w:rPr>
          <w:i w:val="0"/>
          <w:color w:val="FFFFFF"/>
          <w:shd w:val="clear" w:color="auto" w:fill="C00000"/>
        </w:rPr>
        <w:t xml:space="preserve"> </w:t>
      </w:r>
      <w:r>
        <w:rPr>
          <w:i w:val="0"/>
          <w:color w:val="FFFFFF"/>
          <w:shd w:val="clear" w:color="auto" w:fill="C00000"/>
        </w:rPr>
        <w:tab/>
      </w:r>
      <w:r>
        <w:rPr>
          <w:i w:val="0"/>
          <w:color w:val="FFFFFF"/>
          <w:spacing w:val="-1"/>
          <w:shd w:val="clear" w:color="auto" w:fill="C00000"/>
        </w:rPr>
        <w:t>6.</w:t>
      </w:r>
      <w:r>
        <w:rPr>
          <w:color w:val="FFFFFF"/>
          <w:spacing w:val="-1"/>
          <w:shd w:val="clear" w:color="auto" w:fill="C00000"/>
        </w:rPr>
        <w:t>交易：强化交易监管，吸引资金</w:t>
      </w:r>
      <w:r>
        <w:rPr>
          <w:color w:val="FFFFFF"/>
          <w:spacing w:val="-5"/>
          <w:shd w:val="clear" w:color="auto" w:fill="C00000"/>
        </w:rPr>
        <w:t>入</w:t>
      </w:r>
      <w:r>
        <w:rPr>
          <w:color w:val="FFFFFF"/>
          <w:shd w:val="clear" w:color="auto" w:fill="C00000"/>
        </w:rPr>
        <w:t>市</w:t>
      </w:r>
      <w:r>
        <w:rPr>
          <w:color w:val="FFFFFF"/>
          <w:shd w:val="clear" w:color="auto" w:fill="C00000"/>
        </w:rPr>
        <w:tab/>
      </w:r>
    </w:p>
    <w:p w14:paraId="61B13F96" w14:textId="77777777" w:rsidR="004634C9" w:rsidRDefault="004634C9">
      <w:pPr>
        <w:sectPr w:rsidR="004634C9">
          <w:pgSz w:w="19200" w:h="10800" w:orient="landscape"/>
          <w:pgMar w:top="1200" w:right="0" w:bottom="280" w:left="0" w:header="523" w:footer="0" w:gutter="0"/>
          <w:cols w:space="720"/>
        </w:sectPr>
      </w:pPr>
    </w:p>
    <w:p w14:paraId="67E14557" w14:textId="77777777" w:rsidR="004634C9" w:rsidRDefault="00000000">
      <w:pPr>
        <w:pStyle w:val="a3"/>
        <w:spacing w:before="11"/>
        <w:rPr>
          <w:b/>
          <w:i/>
          <w:sz w:val="11"/>
        </w:rPr>
      </w:pPr>
      <w:r>
        <w:lastRenderedPageBreak/>
        <w:pict w14:anchorId="42ECD22C">
          <v:shape id="_x0000_s2069" style="position:absolute;margin-left:91.2pt;margin-top:33.9pt;width:23.75pt;height:14.65pt;z-index:251797504;mso-position-horizontal-relative:page;mso-position-vertical-relative:page" coordorigin="1824,678" coordsize="475,293" o:spt="100" adj="0,,0" path="m1929,678r-23,2l1886,687r-17,11l1853,713r-13,20l1831,759r-5,31l1824,827r2,35l1831,893r9,25l1852,937r15,15l1884,963r18,6l1923,971r20,-1l1960,964r16,-8l1990,944r11,-14l2003,926r-88,l1906,921r-8,-10l1892,903r-3,-10l1886,882r-1,-12l1885,853r4,-12l1896,833r8,-8l1913,820r89,l2002,820r-11,-14l1989,804r-108,l1883,782r3,-19l1890,749r6,-10l1904,729r10,-6l2002,723r-2,-4l1993,707r-10,-11l1971,688r-12,-5l1944,679r-15,-1xm2002,820r-68,l1943,825r8,8l1955,841r4,9l1961,861r1,13l1961,887r-2,11l1956,907r-5,7l1945,922r-9,4l2003,926r6,-12l2014,895r1,-21l2014,854r-5,-18l2002,820xm1932,780r-15,2l1904,786r-12,8l1881,804r108,l1978,795r-14,-9l1948,782r-16,-2xm2002,723r-68,l1941,726r11,10l1956,744r1,11l2010,750r-4,-17l2002,723xm2114,911r-55,l2059,966r55,l2114,911xm2298,759r-55,l2243,966r55,l2298,759xm2298,678r-45,l2248,691r-8,12l2230,714r-11,10l2206,733r-11,8l2183,746r-11,5l2172,801r20,-8l2210,783r17,-11l2243,759r55,l2298,678xe" fillcolor="#0d0d0d" stroked="f">
            <v:stroke joinstyle="round"/>
            <v:formulas/>
            <v:path arrowok="t" o:connecttype="segments"/>
            <w10:wrap anchorx="page" anchory="page"/>
          </v:shape>
        </w:pict>
      </w:r>
      <w:r>
        <w:rPr>
          <w:noProof/>
        </w:rPr>
        <w:drawing>
          <wp:anchor distT="0" distB="0" distL="0" distR="0" simplePos="0" relativeHeight="251798528" behindDoc="0" locked="0" layoutInCell="1" allowOverlap="1" wp14:anchorId="1247ACB1" wp14:editId="62B8B972">
            <wp:simplePos x="0" y="0"/>
            <wp:positionH relativeFrom="page">
              <wp:posOffset>1575942</wp:posOffset>
            </wp:positionH>
            <wp:positionV relativeFrom="page">
              <wp:posOffset>400684</wp:posOffset>
            </wp:positionV>
            <wp:extent cx="2020061" cy="247776"/>
            <wp:effectExtent l="0" t="0" r="0" b="0"/>
            <wp:wrapNone/>
            <wp:docPr id="1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9.png"/>
                    <pic:cNvPicPr/>
                  </pic:nvPicPr>
                  <pic:blipFill>
                    <a:blip r:embed="rId58" cstate="print"/>
                    <a:stretch>
                      <a:fillRect/>
                    </a:stretch>
                  </pic:blipFill>
                  <pic:spPr>
                    <a:xfrm>
                      <a:off x="0" y="0"/>
                      <a:ext cx="2020061" cy="247776"/>
                    </a:xfrm>
                    <a:prstGeom prst="rect">
                      <a:avLst/>
                    </a:prstGeom>
                  </pic:spPr>
                </pic:pic>
              </a:graphicData>
            </a:graphic>
          </wp:anchor>
        </w:drawing>
      </w:r>
    </w:p>
    <w:p w14:paraId="482E115E" w14:textId="77777777" w:rsidR="004634C9" w:rsidRPr="00C15B2C" w:rsidRDefault="00000000">
      <w:pPr>
        <w:pStyle w:val="4"/>
        <w:numPr>
          <w:ilvl w:val="0"/>
          <w:numId w:val="7"/>
        </w:numPr>
        <w:tabs>
          <w:tab w:val="left" w:pos="1256"/>
        </w:tabs>
        <w:spacing w:before="16" w:line="564" w:lineRule="exact"/>
        <w:ind w:left="1255" w:hanging="317"/>
        <w:rPr>
          <w:i w:val="0"/>
          <w:iCs/>
        </w:rPr>
      </w:pPr>
      <w:bookmarkStart w:id="32" w:name="幻灯片_33"/>
      <w:bookmarkEnd w:id="32"/>
      <w:r w:rsidRPr="00C15B2C">
        <w:rPr>
          <w:i w:val="0"/>
          <w:iCs/>
        </w:rPr>
        <w:t>新“国九条”加强战略性力量储备与稳定市场机制建设，</w:t>
      </w:r>
      <w:r w:rsidRPr="00C15B2C">
        <w:rPr>
          <w:i w:val="0"/>
          <w:iCs/>
          <w:color w:val="FF0000"/>
        </w:rPr>
        <w:t>强化交易行为监管，着力稳定市场预期</w:t>
      </w:r>
      <w:r w:rsidRPr="00C15B2C">
        <w:rPr>
          <w:i w:val="0"/>
          <w:iCs/>
        </w:rPr>
        <w:t>。</w:t>
      </w:r>
    </w:p>
    <w:p w14:paraId="2A5D192B" w14:textId="77777777" w:rsidR="004634C9" w:rsidRPr="00C15B2C" w:rsidRDefault="00000000">
      <w:pPr>
        <w:pStyle w:val="a4"/>
        <w:numPr>
          <w:ilvl w:val="0"/>
          <w:numId w:val="7"/>
        </w:numPr>
        <w:tabs>
          <w:tab w:val="left" w:pos="1257"/>
        </w:tabs>
        <w:ind w:left="1256" w:hanging="318"/>
        <w:rPr>
          <w:b/>
          <w:iCs/>
          <w:sz w:val="32"/>
        </w:rPr>
      </w:pPr>
      <w:r w:rsidRPr="00C15B2C">
        <w:rPr>
          <w:b/>
          <w:iCs/>
          <w:sz w:val="32"/>
        </w:rPr>
        <w:t>证监会同步制定《证券市场程序化交易管理规定（试行</w:t>
      </w:r>
      <w:r w:rsidRPr="00C15B2C">
        <w:rPr>
          <w:b/>
          <w:iCs/>
          <w:spacing w:val="3"/>
          <w:sz w:val="32"/>
        </w:rPr>
        <w:t>）</w:t>
      </w:r>
      <w:r w:rsidRPr="00C15B2C">
        <w:rPr>
          <w:b/>
          <w:iCs/>
          <w:sz w:val="32"/>
        </w:rPr>
        <w:t>》。</w:t>
      </w:r>
    </w:p>
    <w:p w14:paraId="509B4E2D" w14:textId="77777777" w:rsidR="004634C9" w:rsidRPr="00C15B2C" w:rsidRDefault="004634C9">
      <w:pPr>
        <w:pStyle w:val="a3"/>
        <w:spacing w:before="6"/>
        <w:rPr>
          <w:b/>
          <w:iCs/>
          <w:sz w:val="26"/>
        </w:rPr>
      </w:pPr>
    </w:p>
    <w:p w14:paraId="71130018" w14:textId="37C548AD" w:rsidR="004634C9" w:rsidRPr="00166C87" w:rsidRDefault="00000000" w:rsidP="00166C87">
      <w:pPr>
        <w:pStyle w:val="a3"/>
        <w:tabs>
          <w:tab w:val="left" w:pos="1310"/>
        </w:tabs>
        <w:spacing w:line="538" w:lineRule="exact"/>
        <w:ind w:left="991"/>
        <w:rPr>
          <w:iCs/>
          <w:w w:val="95"/>
        </w:rPr>
      </w:pPr>
      <w:r w:rsidRPr="00C15B2C">
        <w:rPr>
          <w:iCs/>
          <w:w w:val="95"/>
        </w:rPr>
        <w:t>针对交易层面提出三大要求：</w:t>
      </w:r>
      <w:r w:rsidRPr="00166C87">
        <w:rPr>
          <w:iCs/>
          <w:w w:val="95"/>
        </w:rPr>
        <w:t>（1）促进市场平稳运行。</w:t>
      </w:r>
      <w:r w:rsidRPr="00C15B2C">
        <w:rPr>
          <w:iCs/>
          <w:w w:val="95"/>
        </w:rPr>
        <w:t>意见提出</w:t>
      </w:r>
      <w:r w:rsidRPr="00166C87">
        <w:rPr>
          <w:iCs/>
          <w:w w:val="95"/>
        </w:rPr>
        <w:t>集中整治私募基金领域</w:t>
      </w:r>
      <w:r w:rsidRPr="00C15B2C">
        <w:rPr>
          <w:iCs/>
          <w:w w:val="95"/>
        </w:rPr>
        <w:t>突出风险隐患。做好跨</w:t>
      </w:r>
      <w:r w:rsidRPr="00166C87">
        <w:rPr>
          <w:iCs/>
          <w:w w:val="95"/>
        </w:rPr>
        <w:t>市场跨行业</w:t>
      </w:r>
    </w:p>
    <w:p w14:paraId="00F77A34" w14:textId="7D247F21" w:rsidR="004634C9" w:rsidRPr="00166C87" w:rsidRDefault="00000000">
      <w:pPr>
        <w:pStyle w:val="a3"/>
        <w:tabs>
          <w:tab w:val="left" w:pos="1310"/>
        </w:tabs>
        <w:spacing w:line="538" w:lineRule="exact"/>
        <w:ind w:left="991"/>
        <w:rPr>
          <w:iCs/>
          <w:w w:val="95"/>
        </w:rPr>
      </w:pPr>
      <w:r w:rsidRPr="00166C87">
        <w:rPr>
          <w:iCs/>
          <w:w w:val="95"/>
        </w:rPr>
        <w:t>跨</w:t>
      </w:r>
      <w:r w:rsidRPr="00166C87">
        <w:rPr>
          <w:iCs/>
          <w:w w:val="95"/>
        </w:rPr>
        <w:tab/>
        <w:t>境风险</w:t>
      </w:r>
      <w:r w:rsidRPr="00C15B2C">
        <w:rPr>
          <w:iCs/>
          <w:w w:val="95"/>
        </w:rPr>
        <w:t>监测应对；</w:t>
      </w:r>
      <w:r w:rsidRPr="00166C87">
        <w:rPr>
          <w:iCs/>
          <w:w w:val="95"/>
        </w:rPr>
        <w:t>（2）加强交易监管。</w:t>
      </w:r>
      <w:r w:rsidRPr="00C15B2C">
        <w:rPr>
          <w:iCs/>
          <w:w w:val="95"/>
        </w:rPr>
        <w:t>意见提出出台程序化交易监管规定，加强对</w:t>
      </w:r>
      <w:r w:rsidRPr="00166C87">
        <w:rPr>
          <w:iCs/>
          <w:w w:val="95"/>
        </w:rPr>
        <w:t>高频量化交易监管</w:t>
      </w:r>
      <w:r w:rsidRPr="00C15B2C">
        <w:rPr>
          <w:iCs/>
          <w:w w:val="95"/>
        </w:rPr>
        <w:t>；制定私募证券基</w:t>
      </w:r>
    </w:p>
    <w:p w14:paraId="3117DC82" w14:textId="2FA611B6" w:rsidR="004634C9" w:rsidRPr="00166C87" w:rsidRDefault="00000000">
      <w:pPr>
        <w:pStyle w:val="a3"/>
        <w:spacing w:line="512" w:lineRule="exact"/>
        <w:ind w:left="991"/>
        <w:rPr>
          <w:iCs/>
          <w:w w:val="95"/>
        </w:rPr>
      </w:pPr>
      <w:r w:rsidRPr="00C15B2C">
        <w:rPr>
          <w:iCs/>
          <w:w w:val="95"/>
        </w:rPr>
        <w:t>金运作规则；完善极端情形的应对措施</w:t>
      </w:r>
      <w:r w:rsidR="00166C87">
        <w:rPr>
          <w:rFonts w:hint="eastAsia"/>
          <w:iCs/>
          <w:w w:val="95"/>
        </w:rPr>
        <w:t>；</w:t>
      </w:r>
      <w:r w:rsidRPr="00166C87">
        <w:rPr>
          <w:iCs/>
          <w:w w:val="95"/>
        </w:rPr>
        <w:t>严肃查处操纵市场恶意做空</w:t>
      </w:r>
      <w:r w:rsidRPr="00C15B2C">
        <w:rPr>
          <w:iCs/>
          <w:w w:val="95"/>
        </w:rPr>
        <w:t>等违法违规行为等一系列要求。</w:t>
      </w:r>
      <w:r w:rsidRPr="00166C87">
        <w:rPr>
          <w:iCs/>
          <w:w w:val="95"/>
        </w:rPr>
        <w:t>（3）健全预期管理机</w:t>
      </w:r>
    </w:p>
    <w:p w14:paraId="7B7322DE" w14:textId="77777777" w:rsidR="004634C9" w:rsidRPr="00166C87" w:rsidRDefault="00000000">
      <w:pPr>
        <w:pStyle w:val="a3"/>
        <w:spacing w:line="564" w:lineRule="exact"/>
        <w:ind w:left="991"/>
        <w:rPr>
          <w:iCs/>
          <w:w w:val="95"/>
        </w:rPr>
      </w:pPr>
      <w:r w:rsidRPr="00166C87">
        <w:rPr>
          <w:iCs/>
          <w:w w:val="95"/>
        </w:rPr>
        <w:t>制。将重大经济或非经济政策对资本市场的影响评估内容纳入宏观政策取向一致性评估框架，建立 重大政策信息发布协调</w:t>
      </w:r>
    </w:p>
    <w:p w14:paraId="0B0D9A79" w14:textId="77777777" w:rsidR="004634C9" w:rsidRPr="00C15B2C" w:rsidRDefault="00000000">
      <w:pPr>
        <w:pStyle w:val="a3"/>
        <w:tabs>
          <w:tab w:val="left" w:pos="1310"/>
        </w:tabs>
        <w:spacing w:line="538" w:lineRule="exact"/>
        <w:ind w:left="991"/>
        <w:rPr>
          <w:iCs/>
        </w:rPr>
      </w:pPr>
      <w:r w:rsidRPr="00C15B2C">
        <w:rPr>
          <w:iCs/>
          <w:spacing w:val="-320"/>
          <w:u w:val="single"/>
        </w:rPr>
        <w:t>机</w:t>
      </w:r>
      <w:r w:rsidRPr="00166C87">
        <w:rPr>
          <w:iCs/>
          <w:w w:val="95"/>
        </w:rPr>
        <w:tab/>
        <w:t>制。</w:t>
      </w:r>
    </w:p>
    <w:p w14:paraId="23EBBA8C" w14:textId="77777777" w:rsidR="004634C9" w:rsidRPr="00C15B2C" w:rsidRDefault="004634C9">
      <w:pPr>
        <w:pStyle w:val="a3"/>
        <w:spacing w:before="5"/>
        <w:rPr>
          <w:iCs/>
          <w:sz w:val="24"/>
        </w:rPr>
      </w:pPr>
    </w:p>
    <w:p w14:paraId="2560553E" w14:textId="77777777" w:rsidR="004634C9" w:rsidRPr="00C15B2C" w:rsidRDefault="00000000">
      <w:pPr>
        <w:pStyle w:val="a3"/>
        <w:spacing w:before="16" w:line="583" w:lineRule="exact"/>
        <w:ind w:left="991"/>
        <w:rPr>
          <w:iCs/>
        </w:rPr>
      </w:pPr>
      <w:r w:rsidRPr="00C15B2C">
        <w:rPr>
          <w:iCs/>
        </w:rPr>
        <w:t>证监会同步制定《证券市场程序化交易管理规定（试行）》，自今年</w:t>
      </w:r>
      <w:r w:rsidRPr="00C15B2C">
        <w:rPr>
          <w:rFonts w:ascii="Arial" w:eastAsia="Arial"/>
          <w:iCs/>
        </w:rPr>
        <w:t>10</w:t>
      </w:r>
      <w:r w:rsidRPr="00C15B2C">
        <w:rPr>
          <w:iCs/>
        </w:rPr>
        <w:t>月</w:t>
      </w:r>
      <w:r w:rsidRPr="00C15B2C">
        <w:rPr>
          <w:rFonts w:ascii="Arial" w:eastAsia="Arial"/>
          <w:iCs/>
        </w:rPr>
        <w:t>8</w:t>
      </w:r>
      <w:r w:rsidRPr="00C15B2C">
        <w:rPr>
          <w:iCs/>
        </w:rPr>
        <w:t>日起正式实施。其中提出：（</w:t>
      </w:r>
      <w:r w:rsidRPr="00C15B2C">
        <w:rPr>
          <w:rFonts w:ascii="Arial" w:eastAsia="Arial"/>
          <w:iCs/>
        </w:rPr>
        <w:t>1</w:t>
      </w:r>
      <w:r w:rsidRPr="00C15B2C">
        <w:rPr>
          <w:iCs/>
        </w:rPr>
        <w:t>）明确程序化交</w:t>
      </w:r>
    </w:p>
    <w:p w14:paraId="7BB2F0D4" w14:textId="77777777" w:rsidR="004634C9" w:rsidRPr="00C15B2C" w:rsidRDefault="00000000">
      <w:pPr>
        <w:pStyle w:val="a3"/>
        <w:spacing w:line="576" w:lineRule="exact"/>
        <w:ind w:left="991"/>
        <w:rPr>
          <w:iCs/>
        </w:rPr>
      </w:pPr>
      <w:r w:rsidRPr="00C15B2C">
        <w:rPr>
          <w:iCs/>
        </w:rPr>
        <w:t>易的定义、总体要求及报告要求；（</w:t>
      </w:r>
      <w:r w:rsidRPr="00C15B2C">
        <w:rPr>
          <w:rFonts w:ascii="Arial" w:eastAsia="Arial" w:hAnsi="Arial"/>
          <w:iCs/>
        </w:rPr>
        <w:t>2</w:t>
      </w:r>
      <w:r w:rsidRPr="00C15B2C">
        <w:rPr>
          <w:iCs/>
        </w:rPr>
        <w:t>）明确程序化交易“先报告、后交易”的要求；（</w:t>
      </w:r>
      <w:r w:rsidRPr="00C15B2C">
        <w:rPr>
          <w:rFonts w:ascii="Arial" w:eastAsia="Arial" w:hAnsi="Arial"/>
          <w:iCs/>
        </w:rPr>
        <w:t>3</w:t>
      </w:r>
      <w:r w:rsidRPr="00C15B2C">
        <w:rPr>
          <w:iCs/>
        </w:rPr>
        <w:t>）明确交易监测和风险防控要求；</w:t>
      </w:r>
    </w:p>
    <w:p w14:paraId="1ACDF5E5" w14:textId="2EF07980" w:rsidR="004634C9" w:rsidRPr="00C15B2C" w:rsidRDefault="00C15B2C" w:rsidP="00C15B2C">
      <w:pPr>
        <w:pStyle w:val="a4"/>
        <w:tabs>
          <w:tab w:val="left" w:pos="1818"/>
        </w:tabs>
        <w:spacing w:before="2" w:line="235" w:lineRule="auto"/>
        <w:ind w:left="991" w:right="2292" w:firstLine="0"/>
        <w:rPr>
          <w:iCs/>
          <w:sz w:val="30"/>
        </w:rPr>
      </w:pPr>
      <w:r>
        <w:rPr>
          <w:rFonts w:hint="eastAsia"/>
          <w:iCs/>
          <w:sz w:val="32"/>
          <w:szCs w:val="32"/>
          <w:lang w:eastAsia="zh-CN"/>
        </w:rPr>
        <w:t>（4）</w:t>
      </w:r>
      <w:r w:rsidR="00000000" w:rsidRPr="00C15B2C">
        <w:rPr>
          <w:iCs/>
          <w:sz w:val="32"/>
          <w:szCs w:val="32"/>
        </w:rPr>
        <w:t>加</w:t>
      </w:r>
      <w:r w:rsidR="00000000" w:rsidRPr="00C15B2C">
        <w:rPr>
          <w:iCs/>
          <w:sz w:val="32"/>
        </w:rPr>
        <w:t>强信息系统管理；</w:t>
      </w:r>
      <w:r w:rsidR="00000000" w:rsidRPr="00C15B2C">
        <w:rPr>
          <w:iCs/>
          <w:spacing w:val="4"/>
          <w:sz w:val="32"/>
        </w:rPr>
        <w:t>（</w:t>
      </w:r>
      <w:r w:rsidR="00000000" w:rsidRPr="00C15B2C">
        <w:rPr>
          <w:rFonts w:ascii="Arial" w:eastAsia="Arial"/>
          <w:iCs/>
          <w:spacing w:val="4"/>
          <w:sz w:val="32"/>
        </w:rPr>
        <w:t>5</w:t>
      </w:r>
      <w:r w:rsidR="00000000" w:rsidRPr="00C15B2C">
        <w:rPr>
          <w:iCs/>
          <w:spacing w:val="4"/>
          <w:sz w:val="32"/>
        </w:rPr>
        <w:t>）</w:t>
      </w:r>
      <w:r w:rsidR="00000000" w:rsidRPr="00C15B2C">
        <w:rPr>
          <w:iCs/>
          <w:sz w:val="32"/>
        </w:rPr>
        <w:t>加强高频交易监管；</w:t>
      </w:r>
      <w:r w:rsidR="00000000" w:rsidRPr="00C15B2C">
        <w:rPr>
          <w:iCs/>
          <w:spacing w:val="3"/>
          <w:sz w:val="32"/>
        </w:rPr>
        <w:t>（</w:t>
      </w:r>
      <w:r w:rsidR="00000000" w:rsidRPr="00C15B2C">
        <w:rPr>
          <w:rFonts w:ascii="Arial" w:eastAsia="Arial"/>
          <w:iCs/>
          <w:spacing w:val="3"/>
          <w:sz w:val="32"/>
        </w:rPr>
        <w:t>6</w:t>
      </w:r>
      <w:r w:rsidR="00000000" w:rsidRPr="00C15B2C">
        <w:rPr>
          <w:iCs/>
          <w:spacing w:val="3"/>
          <w:sz w:val="32"/>
        </w:rPr>
        <w:t>）</w:t>
      </w:r>
      <w:r w:rsidR="00000000" w:rsidRPr="00C15B2C">
        <w:rPr>
          <w:iCs/>
          <w:sz w:val="32"/>
        </w:rPr>
        <w:t>明确监督管理安排；</w:t>
      </w:r>
      <w:r w:rsidR="00000000" w:rsidRPr="00C15B2C">
        <w:rPr>
          <w:iCs/>
          <w:spacing w:val="4"/>
          <w:sz w:val="32"/>
        </w:rPr>
        <w:t>（</w:t>
      </w:r>
      <w:r w:rsidR="00000000" w:rsidRPr="00C15B2C">
        <w:rPr>
          <w:rFonts w:ascii="Arial" w:eastAsia="Arial"/>
          <w:iCs/>
          <w:spacing w:val="4"/>
          <w:sz w:val="32"/>
        </w:rPr>
        <w:t>7</w:t>
      </w:r>
      <w:r w:rsidR="00000000" w:rsidRPr="00C15B2C">
        <w:rPr>
          <w:iCs/>
          <w:spacing w:val="4"/>
          <w:sz w:val="32"/>
        </w:rPr>
        <w:t>）</w:t>
      </w:r>
      <w:r w:rsidR="00000000" w:rsidRPr="00C15B2C">
        <w:rPr>
          <w:iCs/>
          <w:sz w:val="32"/>
        </w:rPr>
        <w:t>明确北向程序化交易按照内外资一致的原则，纳入报告管理，执行交易监控标准。</w:t>
      </w:r>
    </w:p>
    <w:p w14:paraId="6A5F15D9" w14:textId="77777777" w:rsidR="004634C9" w:rsidRDefault="004634C9">
      <w:pPr>
        <w:pStyle w:val="a3"/>
        <w:spacing w:before="8"/>
        <w:rPr>
          <w:sz w:val="41"/>
        </w:rPr>
      </w:pPr>
    </w:p>
    <w:p w14:paraId="5CD626DB" w14:textId="77777777" w:rsidR="004634C9" w:rsidRPr="0045201F" w:rsidRDefault="00000000">
      <w:pPr>
        <w:pStyle w:val="a4"/>
        <w:numPr>
          <w:ilvl w:val="0"/>
          <w:numId w:val="4"/>
        </w:numPr>
        <w:tabs>
          <w:tab w:val="left" w:pos="1444"/>
        </w:tabs>
        <w:spacing w:line="240" w:lineRule="auto"/>
        <w:ind w:hanging="453"/>
        <w:rPr>
          <w:b/>
          <w:sz w:val="36"/>
        </w:rPr>
      </w:pPr>
      <w:r w:rsidRPr="0045201F">
        <w:rPr>
          <w:rFonts w:hint="eastAsia"/>
          <w:b/>
          <w:sz w:val="36"/>
        </w:rPr>
        <w:t>此次新规是对证券市场程序化交易监管作出</w:t>
      </w:r>
      <w:r w:rsidRPr="0045201F">
        <w:rPr>
          <w:rFonts w:hint="eastAsia"/>
          <w:b/>
          <w:color w:val="FF0000"/>
          <w:sz w:val="36"/>
        </w:rPr>
        <w:t>全方位、系统性</w:t>
      </w:r>
      <w:r w:rsidRPr="0045201F">
        <w:rPr>
          <w:rFonts w:hint="eastAsia"/>
          <w:b/>
          <w:spacing w:val="-1"/>
          <w:sz w:val="36"/>
        </w:rPr>
        <w:t>规定，是强化市场交易行为监管的重要举措。</w:t>
      </w:r>
    </w:p>
    <w:p w14:paraId="1E9D9785" w14:textId="77777777" w:rsidR="004634C9" w:rsidRDefault="00000000">
      <w:pPr>
        <w:spacing w:before="109"/>
        <w:ind w:left="786"/>
        <w:rPr>
          <w:sz w:val="28"/>
        </w:rPr>
      </w:pPr>
      <w:r>
        <w:rPr>
          <w:color w:val="7E7E7E"/>
          <w:sz w:val="28"/>
        </w:rPr>
        <w:t>资料来源：证监会，万联证券研究所</w:t>
      </w:r>
    </w:p>
    <w:p w14:paraId="1ECA9BBD" w14:textId="77777777" w:rsidR="004634C9" w:rsidRDefault="004634C9">
      <w:pPr>
        <w:rPr>
          <w:sz w:val="28"/>
        </w:rPr>
        <w:sectPr w:rsidR="004634C9">
          <w:pgSz w:w="19200" w:h="10800" w:orient="landscape"/>
          <w:pgMar w:top="1200" w:right="0" w:bottom="0" w:left="0" w:header="523" w:footer="0" w:gutter="0"/>
          <w:cols w:space="720"/>
        </w:sectPr>
      </w:pPr>
    </w:p>
    <w:p w14:paraId="5DC57401" w14:textId="77777777" w:rsidR="004634C9" w:rsidRDefault="00000000">
      <w:pPr>
        <w:pStyle w:val="a3"/>
        <w:spacing w:before="8"/>
        <w:rPr>
          <w:sz w:val="11"/>
        </w:rPr>
      </w:pPr>
      <w:r>
        <w:lastRenderedPageBreak/>
        <w:pict w14:anchorId="550275C3">
          <v:shape id="_x0000_s2067" style="position:absolute;margin-left:91.2pt;margin-top:33.9pt;width:26pt;height:14.65pt;z-index:251800576;mso-position-horizontal-relative:page;mso-position-vertical-relative:page" coordorigin="1824,678" coordsize="520,293" o:spt="100" adj="0,,0" path="m1929,678r-23,2l1886,687r-17,11l1853,713r-13,20l1831,759r-5,31l1824,827r2,35l1831,893r9,25l1852,937r15,15l1884,963r18,6l1923,971r20,-1l1960,964r16,-8l1990,944r11,-14l2003,926r-88,l1906,921r-8,-10l1892,903r-3,-10l1886,882r-1,-12l1885,853r4,-12l1896,833r8,-8l1913,820r89,l2002,820r-11,-14l1989,804r-108,l1883,782r3,-19l1890,749r6,-10l1904,729r10,-6l2002,723r-2,-4l1993,707r-10,-11l1971,688r-12,-5l1944,679r-15,-1xm2002,820r-68,l1943,825r8,8l1955,841r4,9l1961,861r1,13l1961,887r-2,11l1956,907r-5,7l1945,922r-9,4l2003,926r6,-12l2014,895r1,-21l2014,854r-5,-18l2002,820xm1932,780r-15,2l1904,786r-12,8l1881,804r108,l1978,795r-14,-9l1948,782r-16,-2xm2002,723r-68,l1941,726r11,10l1956,744r1,11l2010,750r-4,-17l2002,723xm2114,911r-55,l2059,966r55,l2114,911xm2335,724r-73,l2271,727r14,13l2288,750r,23l2284,784r-7,12l2271,803r-10,10l2248,827r-17,16l2210,863r-18,18l2179,897r-10,14l2162,925r-5,13l2153,952r-3,14l2343,966r,-51l2234,915r3,-5l2241,905r4,-5l2250,895r7,-7l2266,879r12,-11l2290,857r10,-10l2308,839r6,-7l2321,822r6,-9l2332,804r4,-9l2341,783r2,-12l2343,758r-1,-16l2337,727r-2,-3xm2252,678r-18,1l2217,683r-16,6l2188,698r-12,11l2167,724r-6,18l2157,763r55,6l2213,753r4,-12l2223,734r7,-7l2239,724r96,l2329,713r-10,-12l2306,691r-16,-7l2272,680r-20,-2xe" fillcolor="#0d0d0d" stroked="f">
            <v:stroke joinstyle="round"/>
            <v:formulas/>
            <v:path arrowok="t" o:connecttype="segments"/>
            <w10:wrap anchorx="page" anchory="page"/>
          </v:shape>
        </w:pict>
      </w:r>
      <w:r>
        <w:rPr>
          <w:noProof/>
        </w:rPr>
        <w:drawing>
          <wp:anchor distT="0" distB="0" distL="0" distR="0" simplePos="0" relativeHeight="251801600" behindDoc="0" locked="0" layoutInCell="1" allowOverlap="1" wp14:anchorId="5A6C9A6C" wp14:editId="136D003F">
            <wp:simplePos x="0" y="0"/>
            <wp:positionH relativeFrom="page">
              <wp:posOffset>1572133</wp:posOffset>
            </wp:positionH>
            <wp:positionV relativeFrom="page">
              <wp:posOffset>400431</wp:posOffset>
            </wp:positionV>
            <wp:extent cx="2279904" cy="249047"/>
            <wp:effectExtent l="0" t="0" r="0" b="0"/>
            <wp:wrapNone/>
            <wp:docPr id="10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0.png"/>
                    <pic:cNvPicPr/>
                  </pic:nvPicPr>
                  <pic:blipFill>
                    <a:blip r:embed="rId59" cstate="print"/>
                    <a:stretch>
                      <a:fillRect/>
                    </a:stretch>
                  </pic:blipFill>
                  <pic:spPr>
                    <a:xfrm>
                      <a:off x="0" y="0"/>
                      <a:ext cx="2279904" cy="249047"/>
                    </a:xfrm>
                    <a:prstGeom prst="rect">
                      <a:avLst/>
                    </a:prstGeom>
                  </pic:spPr>
                </pic:pic>
              </a:graphicData>
            </a:graphic>
          </wp:anchor>
        </w:drawing>
      </w:r>
    </w:p>
    <w:p w14:paraId="7B003C1A" w14:textId="77777777" w:rsidR="004634C9" w:rsidRDefault="00000000">
      <w:pPr>
        <w:pStyle w:val="4"/>
        <w:numPr>
          <w:ilvl w:val="0"/>
          <w:numId w:val="12"/>
        </w:numPr>
        <w:tabs>
          <w:tab w:val="left" w:pos="1133"/>
        </w:tabs>
        <w:spacing w:before="16" w:line="583" w:lineRule="exact"/>
        <w:ind w:left="1132" w:hanging="452"/>
        <w:jc w:val="both"/>
      </w:pPr>
      <w:bookmarkStart w:id="33" w:name="幻灯片_34"/>
      <w:bookmarkEnd w:id="33"/>
      <w:r>
        <w:t>新“国九条”提出完善适配长期投资的基础制度，构建支持</w:t>
      </w:r>
      <w:r>
        <w:rPr>
          <w:color w:val="FF0000"/>
        </w:rPr>
        <w:t>“长钱长投”</w:t>
      </w:r>
      <w:r>
        <w:t>的政策体系</w:t>
      </w:r>
    </w:p>
    <w:p w14:paraId="530EA74F" w14:textId="77777777" w:rsidR="004634C9" w:rsidRDefault="00000000">
      <w:pPr>
        <w:pStyle w:val="a4"/>
        <w:numPr>
          <w:ilvl w:val="0"/>
          <w:numId w:val="3"/>
        </w:numPr>
        <w:tabs>
          <w:tab w:val="left" w:pos="1133"/>
        </w:tabs>
        <w:spacing w:before="2" w:line="235" w:lineRule="auto"/>
        <w:ind w:right="1008"/>
        <w:jc w:val="both"/>
        <w:rPr>
          <w:sz w:val="32"/>
        </w:rPr>
      </w:pPr>
      <w:r>
        <w:rPr>
          <w:sz w:val="32"/>
        </w:rPr>
        <w:t>在公募基金方面，大力发展权益类公募基金，大幅提升权益类基金占比。建立交易型开放式指数基金（</w:t>
      </w:r>
      <w:r>
        <w:rPr>
          <w:rFonts w:ascii="Arial" w:eastAsia="Arial" w:hAnsi="Arial"/>
          <w:sz w:val="32"/>
        </w:rPr>
        <w:t>ETF</w:t>
      </w:r>
      <w:r>
        <w:rPr>
          <w:sz w:val="32"/>
        </w:rPr>
        <w:t>）快速审批通道，推动指数化投资发展。全面加强基金公司投研能力建设，丰富公募基金可投资产类别和投资组合，从规模导向向投资者回报导向转变。稳步降低公募基金行业综合费率，研究规范基金经理薪酬制度。修订基金管理人分类评价制度，督促树牢理性投资、价值投资、长期投资理念。</w:t>
      </w:r>
    </w:p>
    <w:p w14:paraId="743550E5" w14:textId="77777777" w:rsidR="004634C9" w:rsidRDefault="00000000">
      <w:pPr>
        <w:pStyle w:val="a4"/>
        <w:numPr>
          <w:ilvl w:val="0"/>
          <w:numId w:val="3"/>
        </w:numPr>
        <w:tabs>
          <w:tab w:val="left" w:pos="1133"/>
        </w:tabs>
        <w:spacing w:line="574" w:lineRule="exact"/>
        <w:jc w:val="both"/>
        <w:rPr>
          <w:sz w:val="32"/>
        </w:rPr>
      </w:pPr>
      <w:r>
        <w:rPr>
          <w:sz w:val="32"/>
        </w:rPr>
        <w:t>在私募基金方面，支持私募证券投资基金和私募资管业务稳健发展，提升投资行为稳定性。</w:t>
      </w:r>
    </w:p>
    <w:p w14:paraId="3C6D612B" w14:textId="77777777" w:rsidR="004634C9" w:rsidRDefault="004634C9">
      <w:pPr>
        <w:pStyle w:val="a3"/>
        <w:spacing w:before="9"/>
        <w:rPr>
          <w:sz w:val="30"/>
        </w:rPr>
      </w:pPr>
    </w:p>
    <w:p w14:paraId="4B3591C0" w14:textId="77777777" w:rsidR="004634C9" w:rsidRDefault="00000000">
      <w:pPr>
        <w:pStyle w:val="4"/>
        <w:numPr>
          <w:ilvl w:val="0"/>
          <w:numId w:val="12"/>
        </w:numPr>
        <w:tabs>
          <w:tab w:val="left" w:pos="1133"/>
        </w:tabs>
        <w:spacing w:line="583" w:lineRule="exact"/>
        <w:ind w:left="1132" w:hanging="452"/>
        <w:jc w:val="both"/>
      </w:pPr>
      <w:r>
        <w:t>汇聚不同机构合力，壮大中长期投资力量</w:t>
      </w:r>
    </w:p>
    <w:p w14:paraId="61255880" w14:textId="77777777" w:rsidR="004634C9" w:rsidRDefault="00000000">
      <w:pPr>
        <w:pStyle w:val="a4"/>
        <w:numPr>
          <w:ilvl w:val="0"/>
          <w:numId w:val="3"/>
        </w:numPr>
        <w:tabs>
          <w:tab w:val="left" w:pos="1133"/>
        </w:tabs>
        <w:spacing w:before="1" w:line="235" w:lineRule="auto"/>
        <w:ind w:right="1009"/>
        <w:jc w:val="both"/>
        <w:rPr>
          <w:sz w:val="32"/>
        </w:rPr>
      </w:pPr>
      <w:r>
        <w:rPr>
          <w:b/>
          <w:i/>
          <w:spacing w:val="3"/>
          <w:sz w:val="32"/>
        </w:rPr>
        <w:t>保险：</w:t>
      </w:r>
      <w:r>
        <w:rPr>
          <w:sz w:val="32"/>
        </w:rPr>
        <w:t>优化保险资金权益投资政策环境，完善保险资金权益投资监管制度。在政策环境方面，新</w:t>
      </w:r>
      <w:r>
        <w:rPr>
          <w:rFonts w:ascii="Arial" w:eastAsia="Arial" w:hAnsi="Arial"/>
          <w:sz w:val="32"/>
        </w:rPr>
        <w:t>“</w:t>
      </w:r>
      <w:r>
        <w:rPr>
          <w:spacing w:val="4"/>
          <w:sz w:val="32"/>
        </w:rPr>
        <w:t>国九条</w:t>
      </w:r>
      <w:r>
        <w:rPr>
          <w:rFonts w:ascii="Arial" w:eastAsia="Arial" w:hAnsi="Arial"/>
          <w:spacing w:val="3"/>
          <w:sz w:val="32"/>
        </w:rPr>
        <w:t>”</w:t>
      </w:r>
      <w:r>
        <w:rPr>
          <w:spacing w:val="2"/>
          <w:sz w:val="32"/>
        </w:rPr>
        <w:t>要求优化保险资</w:t>
      </w:r>
      <w:r>
        <w:rPr>
          <w:sz w:val="32"/>
        </w:rPr>
        <w:t>金权益投资政策环境，落实并完善国有保险公司绩效评价办法，更好鼓励开展长期权益投资；在制度方面，要求完善保险</w:t>
      </w:r>
      <w:r>
        <w:rPr>
          <w:spacing w:val="-1"/>
          <w:sz w:val="32"/>
        </w:rPr>
        <w:t>资金权益投资监管制度，优化上市保险公司信息披露要求。</w:t>
      </w:r>
    </w:p>
    <w:p w14:paraId="70C119F6" w14:textId="77777777" w:rsidR="004634C9" w:rsidRDefault="00000000">
      <w:pPr>
        <w:pStyle w:val="a4"/>
        <w:numPr>
          <w:ilvl w:val="0"/>
          <w:numId w:val="3"/>
        </w:numPr>
        <w:tabs>
          <w:tab w:val="left" w:pos="1132"/>
          <w:tab w:val="left" w:pos="1133"/>
        </w:tabs>
        <w:spacing w:line="569" w:lineRule="exact"/>
        <w:rPr>
          <w:sz w:val="32"/>
        </w:rPr>
      </w:pPr>
      <w:r>
        <w:rPr>
          <w:b/>
          <w:i/>
          <w:sz w:val="32"/>
        </w:rPr>
        <w:t>银行、信托：</w:t>
      </w:r>
      <w:r>
        <w:rPr>
          <w:sz w:val="32"/>
        </w:rPr>
        <w:t>鼓励银行理财和信托资金积极参与资本市场，提升权益投资规模。</w:t>
      </w:r>
    </w:p>
    <w:p w14:paraId="3B0DEF0C" w14:textId="77777777" w:rsidR="004634C9" w:rsidRDefault="00000000">
      <w:pPr>
        <w:pStyle w:val="a4"/>
        <w:numPr>
          <w:ilvl w:val="0"/>
          <w:numId w:val="3"/>
        </w:numPr>
        <w:tabs>
          <w:tab w:val="left" w:pos="1132"/>
          <w:tab w:val="left" w:pos="1133"/>
        </w:tabs>
        <w:spacing w:line="576" w:lineRule="exact"/>
        <w:rPr>
          <w:sz w:val="32"/>
        </w:rPr>
      </w:pPr>
      <w:r>
        <w:rPr>
          <w:b/>
          <w:i/>
          <w:sz w:val="32"/>
        </w:rPr>
        <w:t>社保基金、养老金：</w:t>
      </w:r>
      <w:r>
        <w:rPr>
          <w:sz w:val="32"/>
        </w:rPr>
        <w:t>完善全国社会保障基金、基本养老保险基金投资政策。</w:t>
      </w:r>
    </w:p>
    <w:p w14:paraId="209882CB" w14:textId="77777777" w:rsidR="004634C9" w:rsidRDefault="00000000">
      <w:pPr>
        <w:pStyle w:val="a4"/>
        <w:numPr>
          <w:ilvl w:val="0"/>
          <w:numId w:val="3"/>
        </w:numPr>
        <w:tabs>
          <w:tab w:val="left" w:pos="1132"/>
          <w:tab w:val="left" w:pos="1133"/>
        </w:tabs>
        <w:spacing w:line="583" w:lineRule="exact"/>
        <w:rPr>
          <w:sz w:val="32"/>
        </w:rPr>
      </w:pPr>
      <w:r>
        <w:rPr>
          <w:b/>
          <w:i/>
          <w:sz w:val="32"/>
        </w:rPr>
        <w:t>企业年金：</w:t>
      </w:r>
      <w:r>
        <w:rPr>
          <w:sz w:val="32"/>
        </w:rPr>
        <w:t>提升企业年金、个人养老金投资灵活度。</w:t>
      </w:r>
    </w:p>
    <w:p w14:paraId="15DE5AA6" w14:textId="77777777" w:rsidR="004634C9" w:rsidRDefault="004634C9">
      <w:pPr>
        <w:spacing w:line="583" w:lineRule="exact"/>
        <w:rPr>
          <w:sz w:val="32"/>
        </w:rPr>
        <w:sectPr w:rsidR="004634C9">
          <w:headerReference w:type="default" r:id="rId60"/>
          <w:pgSz w:w="19200" w:h="10800" w:orient="landscape"/>
          <w:pgMar w:top="1200" w:right="0" w:bottom="280" w:left="0" w:header="523" w:footer="0" w:gutter="0"/>
          <w:cols w:space="720"/>
        </w:sectPr>
      </w:pPr>
    </w:p>
    <w:p w14:paraId="0E484EED" w14:textId="77777777" w:rsidR="004634C9" w:rsidRDefault="004634C9">
      <w:pPr>
        <w:pStyle w:val="a3"/>
        <w:rPr>
          <w:sz w:val="20"/>
        </w:rPr>
      </w:pPr>
    </w:p>
    <w:p w14:paraId="07088B8E" w14:textId="77777777" w:rsidR="004634C9" w:rsidRDefault="004634C9">
      <w:pPr>
        <w:pStyle w:val="a3"/>
        <w:rPr>
          <w:sz w:val="20"/>
        </w:rPr>
      </w:pPr>
    </w:p>
    <w:p w14:paraId="6DDE7590" w14:textId="77777777" w:rsidR="004634C9" w:rsidRDefault="004634C9">
      <w:pPr>
        <w:pStyle w:val="a3"/>
        <w:rPr>
          <w:sz w:val="20"/>
        </w:rPr>
      </w:pPr>
    </w:p>
    <w:p w14:paraId="0A51113F" w14:textId="77777777" w:rsidR="004634C9" w:rsidRDefault="004634C9">
      <w:pPr>
        <w:pStyle w:val="a3"/>
        <w:rPr>
          <w:sz w:val="20"/>
        </w:rPr>
      </w:pPr>
    </w:p>
    <w:p w14:paraId="630F6225" w14:textId="77777777" w:rsidR="004634C9" w:rsidRDefault="004634C9">
      <w:pPr>
        <w:pStyle w:val="a3"/>
        <w:rPr>
          <w:sz w:val="20"/>
        </w:rPr>
      </w:pPr>
    </w:p>
    <w:p w14:paraId="6035117D" w14:textId="77777777" w:rsidR="004634C9" w:rsidRDefault="004634C9">
      <w:pPr>
        <w:pStyle w:val="a3"/>
        <w:spacing w:before="17"/>
        <w:rPr>
          <w:sz w:val="26"/>
        </w:rPr>
      </w:pPr>
    </w:p>
    <w:p w14:paraId="6EECBF66" w14:textId="77777777" w:rsidR="004634C9" w:rsidRDefault="00000000">
      <w:pPr>
        <w:pStyle w:val="1"/>
        <w:tabs>
          <w:tab w:val="left" w:pos="2177"/>
          <w:tab w:val="left" w:pos="19199"/>
        </w:tabs>
      </w:pPr>
      <w:bookmarkStart w:id="34" w:name="幻灯片_35:_7.机构：回归业务本源，建设一流机构"/>
      <w:bookmarkEnd w:id="34"/>
      <w:r>
        <w:rPr>
          <w:i w:val="0"/>
          <w:color w:val="FFFFFF"/>
          <w:shd w:val="clear" w:color="auto" w:fill="C00000"/>
        </w:rPr>
        <w:t xml:space="preserve"> </w:t>
      </w:r>
      <w:r>
        <w:rPr>
          <w:i w:val="0"/>
          <w:color w:val="FFFFFF"/>
          <w:shd w:val="clear" w:color="auto" w:fill="C00000"/>
        </w:rPr>
        <w:tab/>
      </w:r>
      <w:r>
        <w:rPr>
          <w:i w:val="0"/>
          <w:color w:val="FFFFFF"/>
          <w:spacing w:val="-1"/>
          <w:shd w:val="clear" w:color="auto" w:fill="C00000"/>
        </w:rPr>
        <w:t>7.</w:t>
      </w:r>
      <w:r>
        <w:rPr>
          <w:color w:val="FFFFFF"/>
          <w:spacing w:val="-1"/>
          <w:shd w:val="clear" w:color="auto" w:fill="C00000"/>
        </w:rPr>
        <w:t>机构：回归业务本源，建设一流</w:t>
      </w:r>
      <w:r>
        <w:rPr>
          <w:color w:val="FFFFFF"/>
          <w:spacing w:val="-5"/>
          <w:shd w:val="clear" w:color="auto" w:fill="C00000"/>
        </w:rPr>
        <w:t>机</w:t>
      </w:r>
      <w:r>
        <w:rPr>
          <w:color w:val="FFFFFF"/>
          <w:shd w:val="clear" w:color="auto" w:fill="C00000"/>
        </w:rPr>
        <w:t>构</w:t>
      </w:r>
      <w:r>
        <w:rPr>
          <w:color w:val="FFFFFF"/>
          <w:shd w:val="clear" w:color="auto" w:fill="C00000"/>
        </w:rPr>
        <w:tab/>
      </w:r>
    </w:p>
    <w:p w14:paraId="0B77A7D7" w14:textId="77777777" w:rsidR="004634C9" w:rsidRDefault="004634C9">
      <w:pPr>
        <w:sectPr w:rsidR="004634C9">
          <w:pgSz w:w="19200" w:h="10800" w:orient="landscape"/>
          <w:pgMar w:top="1200" w:right="0" w:bottom="280" w:left="0" w:header="523" w:footer="0" w:gutter="0"/>
          <w:cols w:space="720"/>
        </w:sectPr>
      </w:pPr>
    </w:p>
    <w:p w14:paraId="086E9948" w14:textId="77777777" w:rsidR="004634C9" w:rsidRDefault="004634C9">
      <w:pPr>
        <w:pStyle w:val="a3"/>
        <w:spacing w:before="11"/>
        <w:rPr>
          <w:b/>
          <w:i/>
          <w:sz w:val="11"/>
        </w:rPr>
      </w:pPr>
    </w:p>
    <w:p w14:paraId="15FB1F26" w14:textId="77777777" w:rsidR="004634C9" w:rsidRDefault="00000000">
      <w:pPr>
        <w:pStyle w:val="4"/>
        <w:numPr>
          <w:ilvl w:val="1"/>
          <w:numId w:val="3"/>
        </w:numPr>
        <w:tabs>
          <w:tab w:val="left" w:pos="1256"/>
        </w:tabs>
        <w:spacing w:before="54" w:line="218" w:lineRule="auto"/>
        <w:ind w:right="820" w:hanging="272"/>
      </w:pPr>
      <w:bookmarkStart w:id="35" w:name="幻灯片_36"/>
      <w:bookmarkEnd w:id="35"/>
      <w:r>
        <w:rPr>
          <w:w w:val="95"/>
        </w:rPr>
        <w:t>与</w:t>
      </w:r>
      <w:r>
        <w:rPr>
          <w:rFonts w:ascii="Arial" w:eastAsia="Arial" w:hAnsi="Arial"/>
          <w:i w:val="0"/>
          <w:w w:val="95"/>
        </w:rPr>
        <w:t>2024</w:t>
      </w:r>
      <w:r>
        <w:rPr>
          <w:w w:val="95"/>
        </w:rPr>
        <w:t>年</w:t>
      </w:r>
      <w:r>
        <w:rPr>
          <w:rFonts w:ascii="Arial" w:eastAsia="Arial" w:hAnsi="Arial"/>
          <w:i w:val="0"/>
          <w:w w:val="95"/>
        </w:rPr>
        <w:t>3</w:t>
      </w:r>
      <w:r>
        <w:rPr>
          <w:w w:val="95"/>
        </w:rPr>
        <w:t>月</w:t>
      </w:r>
      <w:r>
        <w:rPr>
          <w:rFonts w:ascii="Arial" w:eastAsia="Arial" w:hAnsi="Arial"/>
          <w:i w:val="0"/>
          <w:w w:val="95"/>
        </w:rPr>
        <w:t>15</w:t>
      </w:r>
      <w:r>
        <w:rPr>
          <w:w w:val="95"/>
        </w:rPr>
        <w:t>日证监会发布“</w:t>
      </w:r>
      <w:r>
        <w:rPr>
          <w:rFonts w:ascii="Arial" w:eastAsia="Arial" w:hAnsi="Arial"/>
          <w:i w:val="0"/>
          <w:w w:val="95"/>
        </w:rPr>
        <w:t>1</w:t>
      </w:r>
      <w:r>
        <w:rPr>
          <w:w w:val="95"/>
        </w:rPr>
        <w:t>个严把、</w:t>
      </w:r>
      <w:r>
        <w:rPr>
          <w:rFonts w:ascii="Arial" w:eastAsia="Arial" w:hAnsi="Arial"/>
          <w:i w:val="0"/>
          <w:w w:val="95"/>
        </w:rPr>
        <w:t>2</w:t>
      </w:r>
      <w:r>
        <w:rPr>
          <w:w w:val="95"/>
        </w:rPr>
        <w:t>个加强、</w:t>
      </w:r>
      <w:r>
        <w:rPr>
          <w:rFonts w:ascii="Arial" w:eastAsia="Arial" w:hAnsi="Arial"/>
          <w:i w:val="0"/>
          <w:w w:val="95"/>
        </w:rPr>
        <w:t>1</w:t>
      </w:r>
      <w:r>
        <w:rPr>
          <w:spacing w:val="-1"/>
          <w:w w:val="95"/>
        </w:rPr>
        <w:t xml:space="preserve">个落实”等文件相比，新”国九条“基本延续了对证券基金机构的相       </w:t>
      </w:r>
      <w:r>
        <w:t>关监管表述，着重引导行业机构树立正确经营理念，</w:t>
      </w:r>
      <w:r>
        <w:rPr>
          <w:color w:val="FF0000"/>
        </w:rPr>
        <w:t>处理好功能性和盈利性关系</w:t>
      </w:r>
      <w:r>
        <w:t>，强监管下推动行业机构提升专业能力、培育良好行业文化，践行五篇大文章。</w:t>
      </w:r>
    </w:p>
    <w:p w14:paraId="5DE6ACED" w14:textId="77777777" w:rsidR="004634C9" w:rsidRDefault="004634C9">
      <w:pPr>
        <w:pStyle w:val="a3"/>
        <w:spacing w:before="7"/>
        <w:rPr>
          <w:b/>
          <w:i/>
          <w:sz w:val="22"/>
        </w:rPr>
      </w:pPr>
    </w:p>
    <w:p w14:paraId="7584DBCF" w14:textId="77777777" w:rsidR="004634C9" w:rsidRDefault="004634C9">
      <w:pPr>
        <w:sectPr w:rsidR="004634C9">
          <w:pgSz w:w="19200" w:h="10800" w:orient="landscape"/>
          <w:pgMar w:top="1200" w:right="0" w:bottom="0" w:left="0" w:header="523" w:footer="0" w:gutter="0"/>
          <w:cols w:space="720"/>
        </w:sectPr>
      </w:pPr>
    </w:p>
    <w:p w14:paraId="04F17AA1" w14:textId="77777777" w:rsidR="004634C9" w:rsidRDefault="00000000">
      <w:pPr>
        <w:spacing w:before="16"/>
        <w:ind w:left="1217" w:right="422"/>
        <w:jc w:val="center"/>
        <w:rPr>
          <w:b/>
          <w:i/>
          <w:sz w:val="32"/>
        </w:rPr>
      </w:pPr>
      <w:r>
        <w:rPr>
          <w:b/>
          <w:i/>
          <w:color w:val="BE1B1B"/>
          <w:sz w:val="32"/>
        </w:rPr>
        <w:t>履行资本市场“看门人”职责，把好资本市场准入关</w:t>
      </w:r>
    </w:p>
    <w:p w14:paraId="3EFA31A7" w14:textId="77777777" w:rsidR="004634C9" w:rsidRDefault="004634C9">
      <w:pPr>
        <w:pStyle w:val="a3"/>
        <w:spacing w:before="2"/>
        <w:rPr>
          <w:b/>
          <w:i/>
          <w:sz w:val="27"/>
        </w:rPr>
      </w:pPr>
    </w:p>
    <w:p w14:paraId="1F4FB23B" w14:textId="77777777" w:rsidR="004634C9" w:rsidRDefault="00000000">
      <w:pPr>
        <w:pStyle w:val="a4"/>
        <w:numPr>
          <w:ilvl w:val="2"/>
          <w:numId w:val="3"/>
        </w:numPr>
        <w:tabs>
          <w:tab w:val="left" w:pos="1522"/>
        </w:tabs>
        <w:spacing w:line="220" w:lineRule="auto"/>
        <w:ind w:right="312"/>
        <w:jc w:val="both"/>
        <w:rPr>
          <w:rFonts w:ascii="宋体" w:eastAsia="宋体" w:hAnsi="宋体"/>
          <w:sz w:val="32"/>
        </w:rPr>
      </w:pPr>
      <w:r>
        <w:rPr>
          <w:rFonts w:ascii="宋体" w:eastAsia="宋体" w:hAnsi="宋体" w:hint="eastAsia"/>
          <w:spacing w:val="6"/>
          <w:w w:val="95"/>
          <w:sz w:val="32"/>
        </w:rPr>
        <w:t xml:space="preserve">证券公司要遵循诚实守信、勤勉尽责的原则，对发 </w:t>
      </w:r>
      <w:r>
        <w:rPr>
          <w:rFonts w:ascii="宋体" w:eastAsia="宋体" w:hAnsi="宋体" w:hint="eastAsia"/>
          <w:spacing w:val="7"/>
          <w:w w:val="95"/>
          <w:sz w:val="32"/>
        </w:rPr>
        <w:t>行人进行全面调查，扛起</w:t>
      </w:r>
      <w:r>
        <w:rPr>
          <w:rFonts w:ascii="宋体" w:eastAsia="宋体" w:hAnsi="宋体" w:hint="eastAsia"/>
          <w:color w:val="FF0000"/>
          <w:spacing w:val="7"/>
          <w:w w:val="95"/>
          <w:sz w:val="32"/>
        </w:rPr>
        <w:t>防范财务造假</w:t>
      </w:r>
      <w:r>
        <w:rPr>
          <w:rFonts w:ascii="宋体" w:eastAsia="宋体" w:hAnsi="宋体" w:hint="eastAsia"/>
          <w:spacing w:val="5"/>
          <w:w w:val="95"/>
          <w:sz w:val="32"/>
        </w:rPr>
        <w:t xml:space="preserve">的责任证券 </w:t>
      </w:r>
      <w:r>
        <w:rPr>
          <w:rFonts w:ascii="宋体" w:eastAsia="宋体" w:hAnsi="宋体" w:hint="eastAsia"/>
          <w:spacing w:val="7"/>
          <w:w w:val="95"/>
          <w:sz w:val="32"/>
        </w:rPr>
        <w:t>公司要提升</w:t>
      </w:r>
      <w:r>
        <w:rPr>
          <w:rFonts w:ascii="宋体" w:eastAsia="宋体" w:hAnsi="宋体" w:hint="eastAsia"/>
          <w:color w:val="FF0000"/>
          <w:spacing w:val="7"/>
          <w:w w:val="95"/>
          <w:sz w:val="32"/>
        </w:rPr>
        <w:t>价值甄别</w:t>
      </w:r>
      <w:r>
        <w:rPr>
          <w:rFonts w:ascii="宋体" w:eastAsia="宋体" w:hAnsi="宋体" w:hint="eastAsia"/>
          <w:spacing w:val="6"/>
          <w:w w:val="95"/>
          <w:sz w:val="32"/>
        </w:rPr>
        <w:t xml:space="preserve">能力，不断为市场挖掘和培育 </w:t>
      </w:r>
      <w:r>
        <w:rPr>
          <w:rFonts w:ascii="宋体" w:eastAsia="宋体" w:hAnsi="宋体" w:hint="eastAsia"/>
          <w:spacing w:val="6"/>
          <w:sz w:val="32"/>
        </w:rPr>
        <w:t>优质上市公司。</w:t>
      </w:r>
    </w:p>
    <w:p w14:paraId="4F753DC0" w14:textId="77777777" w:rsidR="004634C9" w:rsidRDefault="00000000">
      <w:pPr>
        <w:pStyle w:val="a4"/>
        <w:numPr>
          <w:ilvl w:val="2"/>
          <w:numId w:val="3"/>
        </w:numPr>
        <w:tabs>
          <w:tab w:val="left" w:pos="1522"/>
        </w:tabs>
        <w:spacing w:before="37" w:line="213" w:lineRule="auto"/>
        <w:ind w:right="312"/>
        <w:jc w:val="both"/>
        <w:rPr>
          <w:rFonts w:ascii="宋体" w:eastAsia="宋体" w:hAnsi="宋体"/>
          <w:sz w:val="32"/>
        </w:rPr>
      </w:pPr>
      <w:r>
        <w:rPr>
          <w:rFonts w:ascii="宋体" w:eastAsia="宋体" w:hAnsi="宋体" w:hint="eastAsia"/>
          <w:spacing w:val="7"/>
          <w:w w:val="95"/>
          <w:sz w:val="32"/>
        </w:rPr>
        <w:t>证券公司要辨别“硬科技”和“伪创新”，</w:t>
      </w:r>
      <w:r>
        <w:rPr>
          <w:rFonts w:ascii="宋体" w:eastAsia="宋体" w:hAnsi="宋体" w:hint="eastAsia"/>
          <w:color w:val="FF0000"/>
          <w:spacing w:val="7"/>
          <w:w w:val="95"/>
          <w:sz w:val="32"/>
        </w:rPr>
        <w:t xml:space="preserve">充分了 </w:t>
      </w:r>
      <w:r>
        <w:rPr>
          <w:rFonts w:ascii="宋体" w:eastAsia="宋体" w:hAnsi="宋体" w:hint="eastAsia"/>
          <w:color w:val="FF0000"/>
          <w:sz w:val="32"/>
        </w:rPr>
        <w:t>解发行人的经营状况及其面临的风险和问题</w:t>
      </w:r>
      <w:r>
        <w:rPr>
          <w:rFonts w:ascii="宋体" w:eastAsia="宋体" w:hAnsi="宋体" w:hint="eastAsia"/>
          <w:sz w:val="32"/>
        </w:rPr>
        <w:t>。</w:t>
      </w:r>
    </w:p>
    <w:p w14:paraId="5FCED10E" w14:textId="77777777" w:rsidR="004634C9" w:rsidRDefault="00000000">
      <w:pPr>
        <w:pStyle w:val="a4"/>
        <w:numPr>
          <w:ilvl w:val="2"/>
          <w:numId w:val="3"/>
        </w:numPr>
        <w:tabs>
          <w:tab w:val="left" w:pos="1522"/>
        </w:tabs>
        <w:spacing w:before="38" w:line="213" w:lineRule="auto"/>
        <w:jc w:val="both"/>
        <w:rPr>
          <w:rFonts w:ascii="宋体" w:eastAsia="宋体" w:hAnsi="宋体"/>
          <w:sz w:val="32"/>
        </w:rPr>
      </w:pPr>
      <w:r>
        <w:rPr>
          <w:rFonts w:ascii="宋体" w:eastAsia="宋体" w:hAnsi="宋体" w:hint="eastAsia"/>
          <w:spacing w:val="6"/>
          <w:w w:val="95"/>
          <w:sz w:val="32"/>
        </w:rPr>
        <w:t xml:space="preserve">证券公司要充分发挥专业优势，从投资者角度出发， </w:t>
      </w:r>
      <w:r>
        <w:rPr>
          <w:rFonts w:ascii="宋体" w:eastAsia="宋体" w:hAnsi="宋体" w:hint="eastAsia"/>
          <w:sz w:val="32"/>
        </w:rPr>
        <w:t>为市场</w:t>
      </w:r>
      <w:r>
        <w:rPr>
          <w:rFonts w:ascii="宋体" w:eastAsia="宋体" w:hAnsi="宋体" w:hint="eastAsia"/>
          <w:color w:val="FF0000"/>
          <w:sz w:val="32"/>
        </w:rPr>
        <w:t>筛选出更多</w:t>
      </w:r>
      <w:r>
        <w:rPr>
          <w:rFonts w:ascii="Times New Roman" w:eastAsia="Times New Roman" w:hAnsi="Times New Roman"/>
          <w:color w:val="FF0000"/>
          <w:sz w:val="32"/>
        </w:rPr>
        <w:t>“</w:t>
      </w:r>
      <w:r>
        <w:rPr>
          <w:rFonts w:ascii="宋体" w:eastAsia="宋体" w:hAnsi="宋体" w:hint="eastAsia"/>
          <w:color w:val="FF0000"/>
          <w:sz w:val="32"/>
        </w:rPr>
        <w:t>可投性</w:t>
      </w:r>
      <w:r>
        <w:rPr>
          <w:rFonts w:ascii="Times New Roman" w:eastAsia="Times New Roman" w:hAnsi="Times New Roman"/>
          <w:color w:val="FF0000"/>
          <w:sz w:val="32"/>
        </w:rPr>
        <w:t>”</w:t>
      </w:r>
      <w:r>
        <w:rPr>
          <w:rFonts w:ascii="宋体" w:eastAsia="宋体" w:hAnsi="宋体" w:hint="eastAsia"/>
          <w:color w:val="FF0000"/>
          <w:sz w:val="32"/>
        </w:rPr>
        <w:t>的项目</w:t>
      </w:r>
      <w:r>
        <w:rPr>
          <w:rFonts w:ascii="宋体" w:eastAsia="宋体" w:hAnsi="宋体" w:hint="eastAsia"/>
          <w:sz w:val="32"/>
        </w:rPr>
        <w:t>。</w:t>
      </w:r>
    </w:p>
    <w:p w14:paraId="1C36EBEA" w14:textId="77777777" w:rsidR="004634C9" w:rsidRDefault="00000000">
      <w:pPr>
        <w:pStyle w:val="a4"/>
        <w:numPr>
          <w:ilvl w:val="2"/>
          <w:numId w:val="3"/>
        </w:numPr>
        <w:tabs>
          <w:tab w:val="left" w:pos="1522"/>
        </w:tabs>
        <w:spacing w:before="3" w:line="387" w:lineRule="exact"/>
        <w:ind w:hanging="453"/>
        <w:jc w:val="both"/>
        <w:rPr>
          <w:rFonts w:ascii="宋体" w:eastAsia="宋体" w:hAnsi="宋体"/>
          <w:sz w:val="32"/>
        </w:rPr>
      </w:pPr>
      <w:r>
        <w:rPr>
          <w:rFonts w:ascii="宋体" w:eastAsia="宋体" w:hAnsi="宋体" w:hint="eastAsia"/>
          <w:spacing w:val="7"/>
          <w:sz w:val="32"/>
        </w:rPr>
        <w:t>证券公司要通过</w:t>
      </w:r>
      <w:r>
        <w:rPr>
          <w:rFonts w:ascii="宋体" w:eastAsia="宋体" w:hAnsi="宋体" w:hint="eastAsia"/>
          <w:color w:val="FF0000"/>
          <w:spacing w:val="6"/>
          <w:sz w:val="32"/>
        </w:rPr>
        <w:t>提升估值定价能力，提高投价报告</w:t>
      </w:r>
    </w:p>
    <w:p w14:paraId="02054415" w14:textId="77777777" w:rsidR="004634C9" w:rsidRDefault="00000000">
      <w:pPr>
        <w:pStyle w:val="a3"/>
        <w:spacing w:line="387" w:lineRule="exact"/>
        <w:ind w:left="1521"/>
        <w:rPr>
          <w:rFonts w:ascii="宋体" w:eastAsia="宋体"/>
        </w:rPr>
      </w:pPr>
      <w:r>
        <w:rPr>
          <w:rFonts w:ascii="宋体" w:eastAsia="宋体" w:hint="eastAsia"/>
          <w:color w:val="FF0000"/>
        </w:rPr>
        <w:t>质量及加大新股配售自主权</w:t>
      </w:r>
      <w:r>
        <w:rPr>
          <w:rFonts w:ascii="宋体" w:eastAsia="宋体" w:hint="eastAsia"/>
        </w:rPr>
        <w:t>来健全市场化定价机制。</w:t>
      </w:r>
    </w:p>
    <w:p w14:paraId="1F118577" w14:textId="77777777" w:rsidR="004634C9" w:rsidRDefault="00000000">
      <w:pPr>
        <w:pStyle w:val="4"/>
        <w:spacing w:before="16"/>
        <w:ind w:left="893"/>
      </w:pPr>
      <w:r>
        <w:rPr>
          <w:b w:val="0"/>
          <w:i w:val="0"/>
        </w:rPr>
        <w:br w:type="column"/>
      </w:r>
      <w:r>
        <w:rPr>
          <w:color w:val="BE1B1B"/>
        </w:rPr>
        <w:t>发挥市场中介职能，助力上市公司持续提升长期回报水平</w:t>
      </w:r>
    </w:p>
    <w:p w14:paraId="7E39E3AC" w14:textId="77777777" w:rsidR="004634C9" w:rsidRDefault="004634C9">
      <w:pPr>
        <w:pStyle w:val="a3"/>
        <w:spacing w:before="2"/>
        <w:rPr>
          <w:b/>
          <w:i/>
          <w:sz w:val="27"/>
        </w:rPr>
      </w:pPr>
    </w:p>
    <w:p w14:paraId="0DE02C3B" w14:textId="77777777" w:rsidR="004634C9" w:rsidRDefault="00000000">
      <w:pPr>
        <w:pStyle w:val="a4"/>
        <w:numPr>
          <w:ilvl w:val="0"/>
          <w:numId w:val="2"/>
        </w:numPr>
        <w:tabs>
          <w:tab w:val="left" w:pos="1320"/>
        </w:tabs>
        <w:spacing w:line="220" w:lineRule="auto"/>
        <w:ind w:right="1596"/>
        <w:jc w:val="both"/>
        <w:rPr>
          <w:rFonts w:ascii="宋体" w:eastAsia="宋体" w:hAnsi="宋体"/>
          <w:sz w:val="32"/>
        </w:rPr>
      </w:pPr>
      <w:r>
        <w:pict w14:anchorId="57AF30A6">
          <v:line id="_x0000_s2066" style="position:absolute;left:0;text-align:left;z-index:251804672;mso-position-horizontal-relative:page" from="462.95pt,-45.6pt" to="462.95pt,209.5pt" strokecolor="#863623" strokeweight="1pt">
            <w10:wrap anchorx="page"/>
          </v:line>
        </w:pict>
      </w:r>
      <w:r>
        <w:rPr>
          <w:rFonts w:ascii="宋体" w:eastAsia="宋体" w:hAnsi="宋体" w:hint="eastAsia"/>
          <w:spacing w:val="8"/>
          <w:w w:val="95"/>
          <w:sz w:val="32"/>
        </w:rPr>
        <w:t>证券公司</w:t>
      </w:r>
      <w:r>
        <w:rPr>
          <w:rFonts w:ascii="宋体" w:eastAsia="宋体" w:hAnsi="宋体" w:hint="eastAsia"/>
          <w:color w:val="FF0000"/>
          <w:spacing w:val="7"/>
          <w:w w:val="95"/>
          <w:sz w:val="32"/>
        </w:rPr>
        <w:t>助力上市公司完善现代企业治理制度</w:t>
      </w:r>
      <w:r>
        <w:rPr>
          <w:rFonts w:ascii="宋体" w:eastAsia="宋体" w:hAnsi="宋体" w:hint="eastAsia"/>
          <w:spacing w:val="3"/>
          <w:w w:val="95"/>
          <w:sz w:val="32"/>
        </w:rPr>
        <w:t xml:space="preserve">，推 </w:t>
      </w:r>
      <w:r>
        <w:rPr>
          <w:rFonts w:ascii="宋体" w:eastAsia="宋体" w:hAnsi="宋体" w:hint="eastAsia"/>
          <w:spacing w:val="6"/>
          <w:w w:val="95"/>
          <w:sz w:val="32"/>
        </w:rPr>
        <w:t xml:space="preserve">进财务信息的透明化、公司经营的专业化和内外部 约束机制的均衡化。引导上市公司完善分红、回购 </w:t>
      </w:r>
      <w:r>
        <w:rPr>
          <w:rFonts w:ascii="宋体" w:eastAsia="宋体" w:hAnsi="宋体" w:hint="eastAsia"/>
          <w:sz w:val="32"/>
        </w:rPr>
        <w:t>等机制。</w:t>
      </w:r>
    </w:p>
    <w:p w14:paraId="6C0D98E4" w14:textId="77777777" w:rsidR="004634C9" w:rsidRDefault="00000000">
      <w:pPr>
        <w:pStyle w:val="a4"/>
        <w:numPr>
          <w:ilvl w:val="0"/>
          <w:numId w:val="2"/>
        </w:numPr>
        <w:tabs>
          <w:tab w:val="left" w:pos="1320"/>
        </w:tabs>
        <w:spacing w:before="31" w:line="218" w:lineRule="auto"/>
        <w:ind w:right="1604"/>
        <w:jc w:val="both"/>
        <w:rPr>
          <w:rFonts w:ascii="宋体" w:eastAsia="宋体" w:hAnsi="宋体"/>
          <w:sz w:val="32"/>
        </w:rPr>
      </w:pPr>
      <w:r>
        <w:rPr>
          <w:rFonts w:ascii="宋体" w:eastAsia="宋体" w:hAnsi="宋体" w:hint="eastAsia"/>
          <w:spacing w:val="6"/>
          <w:w w:val="95"/>
          <w:sz w:val="32"/>
        </w:rPr>
        <w:t xml:space="preserve">证券公司要通过并购重组、分拆上市、市值管理等 </w:t>
      </w:r>
      <w:r>
        <w:rPr>
          <w:rFonts w:ascii="宋体" w:eastAsia="宋体" w:hAnsi="宋体" w:hint="eastAsia"/>
          <w:spacing w:val="8"/>
          <w:w w:val="95"/>
          <w:sz w:val="32"/>
        </w:rPr>
        <w:t>方式</w:t>
      </w:r>
      <w:r>
        <w:rPr>
          <w:rFonts w:ascii="宋体" w:eastAsia="宋体" w:hAnsi="宋体" w:hint="eastAsia"/>
          <w:color w:val="FF0000"/>
          <w:spacing w:val="6"/>
          <w:w w:val="95"/>
          <w:sz w:val="32"/>
        </w:rPr>
        <w:t xml:space="preserve">助力上市公司做大做强，持续提升上市公司质 </w:t>
      </w:r>
      <w:r>
        <w:rPr>
          <w:rFonts w:ascii="宋体" w:eastAsia="宋体" w:hAnsi="宋体" w:hint="eastAsia"/>
          <w:color w:val="FF0000"/>
          <w:sz w:val="32"/>
        </w:rPr>
        <w:t>量。</w:t>
      </w:r>
    </w:p>
    <w:p w14:paraId="60AF4B47" w14:textId="77777777" w:rsidR="004634C9" w:rsidRDefault="00000000">
      <w:pPr>
        <w:pStyle w:val="a4"/>
        <w:numPr>
          <w:ilvl w:val="0"/>
          <w:numId w:val="2"/>
        </w:numPr>
        <w:tabs>
          <w:tab w:val="left" w:pos="1320"/>
        </w:tabs>
        <w:spacing w:before="29" w:line="220" w:lineRule="auto"/>
        <w:ind w:right="1604"/>
        <w:jc w:val="both"/>
        <w:rPr>
          <w:rFonts w:ascii="宋体" w:eastAsia="宋体" w:hAnsi="宋体"/>
          <w:sz w:val="32"/>
        </w:rPr>
      </w:pPr>
      <w:r>
        <w:rPr>
          <w:rFonts w:ascii="宋体" w:eastAsia="宋体" w:hAnsi="宋体" w:hint="eastAsia"/>
          <w:spacing w:val="7"/>
          <w:w w:val="95"/>
          <w:sz w:val="32"/>
        </w:rPr>
        <w:t>证券公司要引导上市公司做好市值管理，</w:t>
      </w:r>
      <w:r>
        <w:rPr>
          <w:rFonts w:ascii="宋体" w:eastAsia="宋体" w:hAnsi="宋体" w:hint="eastAsia"/>
          <w:color w:val="FF0000"/>
          <w:spacing w:val="2"/>
          <w:w w:val="95"/>
          <w:sz w:val="32"/>
        </w:rPr>
        <w:t xml:space="preserve">帮助上市 </w:t>
      </w:r>
      <w:r>
        <w:rPr>
          <w:rFonts w:ascii="宋体" w:eastAsia="宋体" w:hAnsi="宋体" w:hint="eastAsia"/>
          <w:color w:val="FF0000"/>
          <w:spacing w:val="7"/>
          <w:w w:val="95"/>
          <w:sz w:val="32"/>
        </w:rPr>
        <w:t>公司构建市值管理工作的框架</w:t>
      </w:r>
      <w:r>
        <w:rPr>
          <w:rFonts w:ascii="宋体" w:eastAsia="宋体" w:hAnsi="宋体" w:hint="eastAsia"/>
          <w:spacing w:val="4"/>
          <w:w w:val="95"/>
          <w:sz w:val="32"/>
        </w:rPr>
        <w:t xml:space="preserve">。帮助上市公司分析 </w:t>
      </w:r>
      <w:r>
        <w:rPr>
          <w:rFonts w:ascii="宋体" w:eastAsia="宋体" w:hAnsi="宋体" w:hint="eastAsia"/>
          <w:spacing w:val="5"/>
          <w:sz w:val="32"/>
        </w:rPr>
        <w:t>公司经营和资本回报的现状，制定并披露提升资本回报的相关计划。</w:t>
      </w:r>
    </w:p>
    <w:p w14:paraId="3FE7C4B9" w14:textId="77777777" w:rsidR="004634C9" w:rsidRDefault="004634C9">
      <w:pPr>
        <w:spacing w:line="220" w:lineRule="auto"/>
        <w:jc w:val="both"/>
        <w:rPr>
          <w:rFonts w:ascii="宋体" w:eastAsia="宋体" w:hAnsi="宋体"/>
          <w:sz w:val="32"/>
        </w:rPr>
        <w:sectPr w:rsidR="004634C9">
          <w:type w:val="continuous"/>
          <w:pgSz w:w="19200" w:h="10800" w:orient="landscape"/>
          <w:pgMar w:top="1000" w:right="0" w:bottom="280" w:left="0" w:header="720" w:footer="720" w:gutter="0"/>
          <w:cols w:num="2" w:space="720" w:equalWidth="0">
            <w:col w:w="9039" w:space="40"/>
            <w:col w:w="10121"/>
          </w:cols>
        </w:sectPr>
      </w:pPr>
    </w:p>
    <w:p w14:paraId="3972D68F" w14:textId="77777777" w:rsidR="004634C9" w:rsidRDefault="00000000">
      <w:pPr>
        <w:pStyle w:val="a3"/>
        <w:rPr>
          <w:rFonts w:ascii="宋体"/>
          <w:sz w:val="20"/>
        </w:rPr>
      </w:pPr>
      <w:r>
        <w:pict w14:anchorId="76EA403F">
          <v:shape id="_x0000_s2065" style="position:absolute;margin-left:91.2pt;margin-top:33.9pt;width:23.75pt;height:14.4pt;z-index:251802624;mso-position-horizontal-relative:page;mso-position-vertical-relative:page" coordorigin="1824,678" coordsize="475,288" o:spt="100" adj="0,,0" path="m2012,683r-188,l1824,734r125,l1930,760r-16,26l1899,815r-12,30l1877,876r-8,30l1864,936r-2,30l1915,966r1,-19l1918,926r4,-22l1928,880r7,-24l1943,833r10,-22l1965,789r11,-20l1988,751r12,-15l2012,723r,-40xm2114,911r-55,l2059,966r55,l2114,911xm2298,759r-55,l2243,966r55,l2298,759xm2298,678r-45,l2248,691r-8,12l2230,714r-11,10l2206,733r-11,8l2183,746r-11,5l2172,801r20,-8l2210,783r17,-11l2243,759r55,l2298,678xe" fillcolor="#0d0d0d" stroked="f">
            <v:stroke joinstyle="round"/>
            <v:formulas/>
            <v:path arrowok="t" o:connecttype="segments"/>
            <w10:wrap anchorx="page" anchory="page"/>
          </v:shape>
        </w:pict>
      </w:r>
      <w:r>
        <w:rPr>
          <w:noProof/>
        </w:rPr>
        <w:drawing>
          <wp:anchor distT="0" distB="0" distL="0" distR="0" simplePos="0" relativeHeight="251803648" behindDoc="0" locked="0" layoutInCell="1" allowOverlap="1" wp14:anchorId="13AF98F7" wp14:editId="528BFABF">
            <wp:simplePos x="0" y="0"/>
            <wp:positionH relativeFrom="page">
              <wp:posOffset>1572894</wp:posOffset>
            </wp:positionH>
            <wp:positionV relativeFrom="page">
              <wp:posOffset>400177</wp:posOffset>
            </wp:positionV>
            <wp:extent cx="5316220" cy="249809"/>
            <wp:effectExtent l="0" t="0" r="0" b="0"/>
            <wp:wrapNone/>
            <wp:docPr id="10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1.png"/>
                    <pic:cNvPicPr/>
                  </pic:nvPicPr>
                  <pic:blipFill>
                    <a:blip r:embed="rId61" cstate="print"/>
                    <a:stretch>
                      <a:fillRect/>
                    </a:stretch>
                  </pic:blipFill>
                  <pic:spPr>
                    <a:xfrm>
                      <a:off x="0" y="0"/>
                      <a:ext cx="5316220" cy="249809"/>
                    </a:xfrm>
                    <a:prstGeom prst="rect">
                      <a:avLst/>
                    </a:prstGeom>
                  </pic:spPr>
                </pic:pic>
              </a:graphicData>
            </a:graphic>
          </wp:anchor>
        </w:drawing>
      </w:r>
    </w:p>
    <w:p w14:paraId="059DEE44" w14:textId="77777777" w:rsidR="004634C9" w:rsidRDefault="004634C9">
      <w:pPr>
        <w:pStyle w:val="a3"/>
        <w:rPr>
          <w:rFonts w:ascii="宋体"/>
          <w:sz w:val="20"/>
        </w:rPr>
      </w:pPr>
    </w:p>
    <w:p w14:paraId="16CA50AA" w14:textId="77777777" w:rsidR="004634C9" w:rsidRDefault="004634C9">
      <w:pPr>
        <w:pStyle w:val="a3"/>
        <w:rPr>
          <w:rFonts w:ascii="宋体"/>
          <w:sz w:val="20"/>
        </w:rPr>
      </w:pPr>
    </w:p>
    <w:p w14:paraId="6A8558CE" w14:textId="77777777" w:rsidR="004634C9" w:rsidRDefault="004634C9">
      <w:pPr>
        <w:pStyle w:val="a3"/>
        <w:rPr>
          <w:rFonts w:ascii="宋体"/>
          <w:sz w:val="20"/>
        </w:rPr>
      </w:pPr>
    </w:p>
    <w:p w14:paraId="18ACC8E1" w14:textId="77777777" w:rsidR="004634C9" w:rsidRDefault="00000000">
      <w:pPr>
        <w:spacing w:before="159"/>
        <w:ind w:left="825"/>
        <w:rPr>
          <w:sz w:val="28"/>
        </w:rPr>
      </w:pPr>
      <w:r>
        <w:rPr>
          <w:color w:val="7E7E7E"/>
          <w:sz w:val="28"/>
        </w:rPr>
        <w:t>资料来源：上海证券报，万联证券研究所</w:t>
      </w:r>
    </w:p>
    <w:p w14:paraId="37A324C0" w14:textId="77777777" w:rsidR="004634C9" w:rsidRDefault="004634C9">
      <w:pPr>
        <w:rPr>
          <w:sz w:val="28"/>
        </w:rPr>
        <w:sectPr w:rsidR="004634C9">
          <w:type w:val="continuous"/>
          <w:pgSz w:w="19200" w:h="10800" w:orient="landscape"/>
          <w:pgMar w:top="1000" w:right="0" w:bottom="280" w:left="0" w:header="720" w:footer="720" w:gutter="0"/>
          <w:cols w:space="720"/>
        </w:sectPr>
      </w:pPr>
    </w:p>
    <w:p w14:paraId="08C59865" w14:textId="77777777" w:rsidR="004634C9" w:rsidRDefault="004634C9">
      <w:pPr>
        <w:pStyle w:val="a3"/>
        <w:rPr>
          <w:sz w:val="20"/>
        </w:rPr>
      </w:pPr>
    </w:p>
    <w:p w14:paraId="1F74087A" w14:textId="77777777" w:rsidR="004634C9" w:rsidRDefault="004634C9">
      <w:pPr>
        <w:pStyle w:val="a3"/>
        <w:spacing w:before="10"/>
        <w:rPr>
          <w:sz w:val="11"/>
        </w:rPr>
      </w:pPr>
    </w:p>
    <w:p w14:paraId="4175E31F" w14:textId="77777777" w:rsidR="004634C9" w:rsidRDefault="004634C9">
      <w:pPr>
        <w:rPr>
          <w:sz w:val="11"/>
        </w:rPr>
        <w:sectPr w:rsidR="004634C9">
          <w:headerReference w:type="default" r:id="rId62"/>
          <w:pgSz w:w="19200" w:h="10800" w:orient="landscape"/>
          <w:pgMar w:top="1200" w:right="0" w:bottom="0" w:left="0" w:header="523" w:footer="0" w:gutter="0"/>
          <w:cols w:space="720"/>
        </w:sectPr>
      </w:pPr>
    </w:p>
    <w:p w14:paraId="6296FBF2" w14:textId="77777777" w:rsidR="004634C9" w:rsidRDefault="00000000">
      <w:pPr>
        <w:pStyle w:val="4"/>
        <w:spacing w:before="16"/>
        <w:ind w:left="3171"/>
      </w:pPr>
      <w:bookmarkStart w:id="36" w:name="幻灯片_37"/>
      <w:bookmarkEnd w:id="36"/>
      <w:r>
        <w:rPr>
          <w:color w:val="BE1B1B"/>
        </w:rPr>
        <w:t>积极助力畅通市场退出通道</w:t>
      </w:r>
    </w:p>
    <w:p w14:paraId="554C4B07" w14:textId="77777777" w:rsidR="004634C9" w:rsidRDefault="004634C9">
      <w:pPr>
        <w:pStyle w:val="a3"/>
        <w:spacing w:before="3"/>
        <w:rPr>
          <w:b/>
          <w:i/>
          <w:sz w:val="31"/>
        </w:rPr>
      </w:pPr>
    </w:p>
    <w:p w14:paraId="6AE73CC2" w14:textId="77777777" w:rsidR="004634C9" w:rsidRDefault="00000000">
      <w:pPr>
        <w:pStyle w:val="a4"/>
        <w:numPr>
          <w:ilvl w:val="1"/>
          <w:numId w:val="2"/>
        </w:numPr>
        <w:tabs>
          <w:tab w:val="left" w:pos="1437"/>
        </w:tabs>
        <w:spacing w:line="338" w:lineRule="auto"/>
        <w:ind w:right="45"/>
        <w:jc w:val="both"/>
        <w:rPr>
          <w:rFonts w:ascii="宋体" w:eastAsia="宋体" w:hAnsi="宋体"/>
          <w:sz w:val="32"/>
        </w:rPr>
      </w:pPr>
      <w:r>
        <w:rPr>
          <w:rFonts w:ascii="宋体" w:eastAsia="宋体" w:hAnsi="宋体" w:hint="eastAsia"/>
          <w:spacing w:val="6"/>
          <w:sz w:val="32"/>
        </w:rPr>
        <w:t>证券公司要</w:t>
      </w:r>
      <w:r>
        <w:rPr>
          <w:rFonts w:ascii="宋体" w:eastAsia="宋体" w:hAnsi="宋体" w:hint="eastAsia"/>
          <w:color w:val="FF0000"/>
          <w:spacing w:val="6"/>
          <w:sz w:val="32"/>
        </w:rPr>
        <w:t>引导企业形成正确的资本观</w:t>
      </w:r>
      <w:r>
        <w:rPr>
          <w:rFonts w:ascii="宋体" w:eastAsia="宋体" w:hAnsi="宋体" w:hint="eastAsia"/>
          <w:spacing w:val="4"/>
          <w:sz w:val="32"/>
        </w:rPr>
        <w:t>，帮助市场</w:t>
      </w:r>
      <w:r>
        <w:rPr>
          <w:rFonts w:ascii="宋体" w:eastAsia="宋体" w:hAnsi="宋体" w:hint="eastAsia"/>
          <w:spacing w:val="6"/>
          <w:w w:val="95"/>
          <w:sz w:val="32"/>
        </w:rPr>
        <w:t xml:space="preserve">主体消除认识偏差，全面正确了解上市和私有化各 </w:t>
      </w:r>
      <w:r>
        <w:rPr>
          <w:rFonts w:ascii="宋体" w:eastAsia="宋体" w:hAnsi="宋体" w:hint="eastAsia"/>
          <w:sz w:val="32"/>
        </w:rPr>
        <w:t>自的收益与成本。</w:t>
      </w:r>
    </w:p>
    <w:p w14:paraId="4412C9EC" w14:textId="77777777" w:rsidR="004634C9" w:rsidRDefault="00000000">
      <w:pPr>
        <w:pStyle w:val="a4"/>
        <w:numPr>
          <w:ilvl w:val="1"/>
          <w:numId w:val="2"/>
        </w:numPr>
        <w:tabs>
          <w:tab w:val="left" w:pos="1437"/>
        </w:tabs>
        <w:spacing w:line="404" w:lineRule="exact"/>
        <w:ind w:hanging="453"/>
        <w:jc w:val="both"/>
        <w:rPr>
          <w:rFonts w:ascii="宋体" w:eastAsia="宋体" w:hAnsi="宋体"/>
          <w:sz w:val="32"/>
        </w:rPr>
      </w:pPr>
      <w:r>
        <w:rPr>
          <w:rFonts w:ascii="宋体" w:eastAsia="宋体" w:hAnsi="宋体" w:hint="eastAsia"/>
          <w:spacing w:val="6"/>
          <w:sz w:val="32"/>
        </w:rPr>
        <w:t>证券公司要积极服务好多层次资本市场建设，提升</w:t>
      </w:r>
    </w:p>
    <w:p w14:paraId="1FD94EDC" w14:textId="77777777" w:rsidR="004634C9" w:rsidRDefault="00000000">
      <w:pPr>
        <w:pStyle w:val="a3"/>
        <w:spacing w:before="167"/>
        <w:ind w:left="1416" w:right="824"/>
        <w:jc w:val="center"/>
        <w:rPr>
          <w:rFonts w:ascii="宋体" w:eastAsia="宋体"/>
        </w:rPr>
      </w:pPr>
      <w:r>
        <w:rPr>
          <w:rFonts w:ascii="宋体" w:eastAsia="宋体" w:hint="eastAsia"/>
        </w:rPr>
        <w:t>场外市场承接及吸纳降板或退市企业的能力。</w:t>
      </w:r>
    </w:p>
    <w:p w14:paraId="6EB30584" w14:textId="77777777" w:rsidR="004634C9" w:rsidRDefault="00000000">
      <w:pPr>
        <w:pStyle w:val="a4"/>
        <w:numPr>
          <w:ilvl w:val="1"/>
          <w:numId w:val="2"/>
        </w:numPr>
        <w:tabs>
          <w:tab w:val="left" w:pos="1437"/>
        </w:tabs>
        <w:spacing w:before="166" w:line="338" w:lineRule="auto"/>
        <w:ind w:right="45"/>
        <w:jc w:val="both"/>
        <w:rPr>
          <w:rFonts w:ascii="宋体" w:eastAsia="宋体" w:hAnsi="宋体"/>
          <w:sz w:val="32"/>
        </w:rPr>
      </w:pPr>
      <w:r>
        <w:rPr>
          <w:rFonts w:ascii="宋体" w:eastAsia="宋体" w:hAnsi="宋体" w:hint="eastAsia"/>
          <w:spacing w:val="7"/>
          <w:w w:val="95"/>
          <w:sz w:val="32"/>
        </w:rPr>
        <w:t>证券公司要加快</w:t>
      </w:r>
      <w:r>
        <w:rPr>
          <w:rFonts w:ascii="宋体" w:eastAsia="宋体" w:hAnsi="宋体" w:hint="eastAsia"/>
          <w:color w:val="FF0000"/>
          <w:spacing w:val="7"/>
          <w:w w:val="95"/>
          <w:sz w:val="32"/>
        </w:rPr>
        <w:t>提升交易撮合能力</w:t>
      </w:r>
      <w:r>
        <w:rPr>
          <w:rFonts w:ascii="宋体" w:eastAsia="宋体" w:hAnsi="宋体" w:hint="eastAsia"/>
          <w:spacing w:val="4"/>
          <w:w w:val="95"/>
          <w:sz w:val="32"/>
        </w:rPr>
        <w:t xml:space="preserve">，优化新三板、 </w:t>
      </w:r>
      <w:r>
        <w:rPr>
          <w:rFonts w:ascii="宋体" w:eastAsia="宋体" w:hAnsi="宋体" w:hint="eastAsia"/>
          <w:spacing w:val="6"/>
          <w:w w:val="95"/>
          <w:sz w:val="32"/>
        </w:rPr>
        <w:t xml:space="preserve">区域性股权交易市场的活跃度，做好企业转板前后 </w:t>
      </w:r>
      <w:r>
        <w:rPr>
          <w:rFonts w:ascii="宋体" w:eastAsia="宋体" w:hAnsi="宋体" w:hint="eastAsia"/>
          <w:sz w:val="32"/>
        </w:rPr>
        <w:t>的交易衔接，避免转板前后出现估值大幅波动。</w:t>
      </w:r>
    </w:p>
    <w:p w14:paraId="64E7909D" w14:textId="77777777" w:rsidR="004634C9" w:rsidRDefault="00000000">
      <w:pPr>
        <w:pStyle w:val="a4"/>
        <w:numPr>
          <w:ilvl w:val="1"/>
          <w:numId w:val="2"/>
        </w:numPr>
        <w:tabs>
          <w:tab w:val="left" w:pos="1437"/>
        </w:tabs>
        <w:spacing w:line="336" w:lineRule="auto"/>
        <w:ind w:right="47"/>
        <w:jc w:val="both"/>
        <w:rPr>
          <w:rFonts w:ascii="宋体" w:eastAsia="宋体" w:hAnsi="宋体"/>
          <w:sz w:val="32"/>
        </w:rPr>
      </w:pPr>
      <w:r>
        <w:rPr>
          <w:rFonts w:ascii="宋体" w:eastAsia="宋体" w:hAnsi="宋体" w:hint="eastAsia"/>
          <w:spacing w:val="7"/>
          <w:w w:val="95"/>
          <w:sz w:val="32"/>
        </w:rPr>
        <w:t>证券公司要</w:t>
      </w:r>
      <w:r>
        <w:rPr>
          <w:rFonts w:ascii="宋体" w:eastAsia="宋体" w:hAnsi="宋体" w:hint="eastAsia"/>
          <w:color w:val="FF0000"/>
          <w:spacing w:val="5"/>
          <w:w w:val="95"/>
          <w:sz w:val="32"/>
        </w:rPr>
        <w:t xml:space="preserve">督促退市企业做好退市过程中的信息披 </w:t>
      </w:r>
      <w:r>
        <w:rPr>
          <w:rFonts w:ascii="宋体" w:eastAsia="宋体" w:hAnsi="宋体" w:hint="eastAsia"/>
          <w:color w:val="FF0000"/>
          <w:spacing w:val="9"/>
          <w:w w:val="95"/>
          <w:sz w:val="32"/>
        </w:rPr>
        <w:t>露</w:t>
      </w:r>
      <w:r>
        <w:rPr>
          <w:rFonts w:ascii="宋体" w:eastAsia="宋体" w:hAnsi="宋体" w:hint="eastAsia"/>
          <w:spacing w:val="6"/>
          <w:w w:val="95"/>
          <w:sz w:val="32"/>
        </w:rPr>
        <w:t xml:space="preserve">，及时告知投资者有关先行赔付、利益纠纷解决 </w:t>
      </w:r>
      <w:r>
        <w:rPr>
          <w:rFonts w:ascii="宋体" w:eastAsia="宋体" w:hAnsi="宋体" w:hint="eastAsia"/>
          <w:sz w:val="32"/>
        </w:rPr>
        <w:t>的内容，做好退市过程中的投资者权益保护。</w:t>
      </w:r>
    </w:p>
    <w:p w14:paraId="22A3B406" w14:textId="77777777" w:rsidR="004634C9" w:rsidRDefault="00000000">
      <w:pPr>
        <w:pStyle w:val="4"/>
        <w:spacing w:before="18"/>
        <w:ind w:left="1010"/>
      </w:pPr>
      <w:r>
        <w:rPr>
          <w:b w:val="0"/>
          <w:i w:val="0"/>
        </w:rPr>
        <w:br w:type="column"/>
      </w:r>
      <w:r>
        <w:rPr>
          <w:color w:val="BE1B1B"/>
        </w:rPr>
        <w:t>发挥市场中介职能，助力上市公司持续提升长期回报水平</w:t>
      </w:r>
    </w:p>
    <w:p w14:paraId="7D3E0D9D" w14:textId="77777777" w:rsidR="004634C9" w:rsidRDefault="004634C9">
      <w:pPr>
        <w:pStyle w:val="a3"/>
        <w:spacing w:before="15"/>
        <w:rPr>
          <w:b/>
          <w:i/>
          <w:sz w:val="25"/>
        </w:rPr>
      </w:pPr>
    </w:p>
    <w:p w14:paraId="509D2C28" w14:textId="77777777" w:rsidR="004634C9" w:rsidRDefault="00000000">
      <w:pPr>
        <w:pStyle w:val="a4"/>
        <w:numPr>
          <w:ilvl w:val="1"/>
          <w:numId w:val="2"/>
        </w:numPr>
        <w:tabs>
          <w:tab w:val="left" w:pos="1436"/>
          <w:tab w:val="left" w:pos="1437"/>
        </w:tabs>
        <w:spacing w:line="235" w:lineRule="auto"/>
        <w:ind w:right="1142"/>
        <w:rPr>
          <w:rFonts w:ascii="Microsoft JhengHei" w:eastAsia="Microsoft JhengHei" w:hAnsi="Microsoft JhengHei"/>
          <w:b/>
          <w:sz w:val="32"/>
        </w:rPr>
      </w:pPr>
      <w:r>
        <w:pict w14:anchorId="5F1F4202">
          <v:line id="_x0000_s2064" style="position:absolute;left:0;text-align:left;z-index:251807744;mso-position-horizontal-relative:page" from="462.95pt,-49.75pt" to="462.95pt,330.1pt" strokecolor="#863623" strokeweight="1pt">
            <w10:wrap anchorx="page"/>
          </v:line>
        </w:pict>
      </w:r>
      <w:r>
        <w:rPr>
          <w:rFonts w:ascii="Microsoft JhengHei" w:eastAsia="Microsoft JhengHei" w:hAnsi="Microsoft JhengHei" w:hint="eastAsia"/>
          <w:b/>
          <w:spacing w:val="5"/>
          <w:sz w:val="32"/>
        </w:rPr>
        <w:t xml:space="preserve">证券公司要发挥在产品创设及流动性服务上的优势， </w:t>
      </w:r>
      <w:r>
        <w:rPr>
          <w:rFonts w:ascii="Microsoft JhengHei" w:eastAsia="Microsoft JhengHei" w:hAnsi="Microsoft JhengHei" w:hint="eastAsia"/>
          <w:b/>
          <w:spacing w:val="6"/>
          <w:sz w:val="32"/>
        </w:rPr>
        <w:t>将完善自身风险管理与强化对市场主体的主动管理</w:t>
      </w:r>
      <w:r>
        <w:rPr>
          <w:rFonts w:ascii="Microsoft JhengHei" w:eastAsia="Microsoft JhengHei" w:hAnsi="Microsoft JhengHei" w:hint="eastAsia"/>
          <w:b/>
          <w:sz w:val="32"/>
        </w:rPr>
        <w:t>能力相结合，助力资本市场持续稳定发展。</w:t>
      </w:r>
    </w:p>
    <w:p w14:paraId="38B3D891" w14:textId="77777777" w:rsidR="004634C9" w:rsidRDefault="00000000">
      <w:pPr>
        <w:pStyle w:val="a4"/>
        <w:numPr>
          <w:ilvl w:val="1"/>
          <w:numId w:val="2"/>
        </w:numPr>
        <w:tabs>
          <w:tab w:val="left" w:pos="451"/>
          <w:tab w:val="left" w:pos="1437"/>
        </w:tabs>
        <w:spacing w:before="95" w:line="240" w:lineRule="auto"/>
        <w:ind w:right="481" w:hanging="1437"/>
        <w:rPr>
          <w:rFonts w:ascii="宋体" w:eastAsia="宋体" w:hAnsi="宋体"/>
          <w:sz w:val="32"/>
        </w:rPr>
      </w:pPr>
      <w:r>
        <w:rPr>
          <w:rFonts w:ascii="宋体" w:eastAsia="宋体" w:hAnsi="宋体" w:hint="eastAsia"/>
          <w:spacing w:val="6"/>
          <w:sz w:val="32"/>
        </w:rPr>
        <w:t>发挥产品创设和服务创新作用，</w:t>
      </w:r>
      <w:r>
        <w:rPr>
          <w:rFonts w:ascii="宋体" w:eastAsia="宋体" w:hAnsi="宋体" w:hint="eastAsia"/>
          <w:color w:val="FF0000"/>
          <w:spacing w:val="5"/>
          <w:sz w:val="32"/>
        </w:rPr>
        <w:t>为市场主体提供更</w:t>
      </w:r>
    </w:p>
    <w:p w14:paraId="66880AF0" w14:textId="77777777" w:rsidR="004634C9" w:rsidRDefault="00000000">
      <w:pPr>
        <w:pStyle w:val="a3"/>
        <w:spacing w:before="167"/>
        <w:ind w:left="1493" w:right="1205"/>
        <w:jc w:val="center"/>
        <w:rPr>
          <w:rFonts w:ascii="宋体" w:eastAsia="宋体"/>
        </w:rPr>
      </w:pPr>
      <w:r>
        <w:rPr>
          <w:rFonts w:ascii="宋体" w:eastAsia="宋体" w:hint="eastAsia"/>
          <w:color w:val="FF0000"/>
        </w:rPr>
        <w:t>多的主动风险管理产品和服务</w:t>
      </w:r>
      <w:r>
        <w:rPr>
          <w:rFonts w:ascii="宋体" w:eastAsia="宋体" w:hint="eastAsia"/>
        </w:rPr>
        <w:t>，维护市场稳定运行。</w:t>
      </w:r>
    </w:p>
    <w:p w14:paraId="0C189858" w14:textId="77777777" w:rsidR="004634C9" w:rsidRDefault="00000000">
      <w:pPr>
        <w:pStyle w:val="a4"/>
        <w:numPr>
          <w:ilvl w:val="1"/>
          <w:numId w:val="2"/>
        </w:numPr>
        <w:tabs>
          <w:tab w:val="left" w:pos="1437"/>
        </w:tabs>
        <w:spacing w:before="166" w:line="338" w:lineRule="auto"/>
        <w:ind w:right="1457"/>
        <w:jc w:val="both"/>
        <w:rPr>
          <w:rFonts w:ascii="宋体" w:eastAsia="宋体" w:hAnsi="宋体"/>
          <w:sz w:val="32"/>
        </w:rPr>
      </w:pPr>
      <w:r>
        <w:rPr>
          <w:rFonts w:ascii="宋体" w:eastAsia="宋体" w:hAnsi="宋体" w:hint="eastAsia"/>
          <w:spacing w:val="8"/>
          <w:w w:val="95"/>
          <w:sz w:val="32"/>
        </w:rPr>
        <w:t>加快</w:t>
      </w:r>
      <w:r>
        <w:rPr>
          <w:rFonts w:ascii="宋体" w:eastAsia="宋体" w:hAnsi="宋体" w:hint="eastAsia"/>
          <w:color w:val="FF0000"/>
          <w:spacing w:val="7"/>
          <w:w w:val="95"/>
          <w:sz w:val="32"/>
        </w:rPr>
        <w:t>推动投资交易业务向“非方向、低波动”的客 需驱动转型</w:t>
      </w:r>
      <w:r>
        <w:rPr>
          <w:rFonts w:ascii="宋体" w:eastAsia="宋体" w:hAnsi="宋体" w:hint="eastAsia"/>
          <w:spacing w:val="6"/>
          <w:w w:val="95"/>
          <w:sz w:val="32"/>
        </w:rPr>
        <w:t xml:space="preserve">，将完善证券公司自身风险管理与防范 </w:t>
      </w:r>
      <w:r>
        <w:rPr>
          <w:rFonts w:ascii="宋体" w:eastAsia="宋体" w:hAnsi="宋体" w:hint="eastAsia"/>
          <w:spacing w:val="4"/>
          <w:sz w:val="32"/>
        </w:rPr>
        <w:t>化解资本市场风险相结合。</w:t>
      </w:r>
    </w:p>
    <w:p w14:paraId="269924D0" w14:textId="77777777" w:rsidR="004634C9" w:rsidRDefault="00000000">
      <w:pPr>
        <w:pStyle w:val="a4"/>
        <w:numPr>
          <w:ilvl w:val="1"/>
          <w:numId w:val="2"/>
        </w:numPr>
        <w:tabs>
          <w:tab w:val="left" w:pos="1437"/>
        </w:tabs>
        <w:spacing w:line="336" w:lineRule="auto"/>
        <w:ind w:right="1464"/>
        <w:jc w:val="both"/>
        <w:rPr>
          <w:rFonts w:ascii="宋体" w:eastAsia="宋体" w:hAnsi="宋体"/>
          <w:sz w:val="32"/>
        </w:rPr>
      </w:pPr>
      <w:r>
        <w:rPr>
          <w:rFonts w:ascii="宋体" w:eastAsia="宋体" w:hAnsi="宋体" w:hint="eastAsia"/>
          <w:spacing w:val="8"/>
          <w:w w:val="95"/>
          <w:sz w:val="32"/>
        </w:rPr>
        <w:t>积极</w:t>
      </w:r>
      <w:r>
        <w:rPr>
          <w:rFonts w:ascii="宋体" w:eastAsia="宋体" w:hAnsi="宋体" w:hint="eastAsia"/>
          <w:color w:val="FF0000"/>
          <w:spacing w:val="7"/>
          <w:w w:val="95"/>
          <w:sz w:val="32"/>
        </w:rPr>
        <w:t>引导长期资金加大对优质资产的长期配置</w:t>
      </w:r>
      <w:r>
        <w:rPr>
          <w:rFonts w:ascii="宋体" w:eastAsia="宋体" w:hAnsi="宋体" w:hint="eastAsia"/>
          <w:spacing w:val="-2"/>
          <w:w w:val="95"/>
          <w:sz w:val="32"/>
        </w:rPr>
        <w:t xml:space="preserve">，发 </w:t>
      </w:r>
      <w:r>
        <w:rPr>
          <w:rFonts w:ascii="宋体" w:eastAsia="宋体" w:hAnsi="宋体" w:hint="eastAsia"/>
          <w:sz w:val="32"/>
        </w:rPr>
        <w:t>挥长期资金的“压舱石”作用。</w:t>
      </w:r>
    </w:p>
    <w:p w14:paraId="5C2605EB" w14:textId="77777777" w:rsidR="004634C9" w:rsidRDefault="004634C9">
      <w:pPr>
        <w:spacing w:line="336" w:lineRule="auto"/>
        <w:jc w:val="both"/>
        <w:rPr>
          <w:rFonts w:ascii="宋体" w:eastAsia="宋体" w:hAnsi="宋体"/>
          <w:sz w:val="32"/>
        </w:rPr>
        <w:sectPr w:rsidR="004634C9">
          <w:type w:val="continuous"/>
          <w:pgSz w:w="19200" w:h="10800" w:orient="landscape"/>
          <w:pgMar w:top="1000" w:right="0" w:bottom="280" w:left="0" w:header="720" w:footer="720" w:gutter="0"/>
          <w:cols w:num="2" w:space="720" w:equalWidth="0">
            <w:col w:w="8680" w:space="421"/>
            <w:col w:w="10099"/>
          </w:cols>
        </w:sectPr>
      </w:pPr>
    </w:p>
    <w:p w14:paraId="39BDF7B7" w14:textId="77777777" w:rsidR="004634C9" w:rsidRDefault="00000000">
      <w:pPr>
        <w:pStyle w:val="a3"/>
        <w:rPr>
          <w:rFonts w:ascii="宋体"/>
          <w:sz w:val="20"/>
        </w:rPr>
      </w:pPr>
      <w:r>
        <w:pict w14:anchorId="4D3431A6">
          <v:shape id="_x0000_s2063" style="position:absolute;margin-left:91.2pt;margin-top:33.9pt;width:26pt;height:14.4pt;z-index:251805696;mso-position-horizontal-relative:page;mso-position-vertical-relative:page" coordorigin="1824,678" coordsize="520,288" o:spt="100" adj="0,,0" path="m2012,683r-188,l1824,734r125,l1930,760r-16,26l1899,815r-12,30l1877,876r-8,30l1864,936r-2,30l1915,966r1,-19l1918,926r4,-22l1928,880r7,-24l1943,833r10,-22l1965,789r11,-20l1988,751r12,-15l2012,723r,-40xm2114,911r-55,l2059,966r55,l2114,911xm2335,724r-73,l2271,727r14,13l2288,750r,23l2284,784r-7,12l2271,803r-10,10l2248,827r-17,16l2210,863r-18,18l2179,897r-10,14l2162,925r-5,13l2153,952r-3,14l2343,966r,-51l2234,915r3,-5l2241,905r4,-5l2250,895r7,-7l2266,879r12,-11l2290,857r10,-10l2308,839r6,-7l2321,822r6,-9l2332,804r4,-9l2341,783r2,-12l2343,758r-1,-16l2337,727r-2,-3xm2252,678r-18,1l2217,683r-16,6l2188,698r-12,11l2167,724r-6,18l2157,763r55,6l2213,753r4,-12l2223,734r7,-7l2239,724r96,l2329,713r-10,-12l2306,691r-16,-7l2272,680r-20,-2xe" fillcolor="#0d0d0d" stroked="f">
            <v:stroke joinstyle="round"/>
            <v:formulas/>
            <v:path arrowok="t" o:connecttype="segments"/>
            <w10:wrap anchorx="page" anchory="page"/>
          </v:shape>
        </w:pict>
      </w:r>
      <w:r>
        <w:rPr>
          <w:noProof/>
        </w:rPr>
        <w:drawing>
          <wp:anchor distT="0" distB="0" distL="0" distR="0" simplePos="0" relativeHeight="251806720" behindDoc="0" locked="0" layoutInCell="1" allowOverlap="1" wp14:anchorId="66618EDC" wp14:editId="47B27ACB">
            <wp:simplePos x="0" y="0"/>
            <wp:positionH relativeFrom="page">
              <wp:posOffset>1580388</wp:posOffset>
            </wp:positionH>
            <wp:positionV relativeFrom="page">
              <wp:posOffset>400431</wp:posOffset>
            </wp:positionV>
            <wp:extent cx="5055743" cy="248285"/>
            <wp:effectExtent l="0" t="0" r="0" b="0"/>
            <wp:wrapNone/>
            <wp:docPr id="1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2.png"/>
                    <pic:cNvPicPr/>
                  </pic:nvPicPr>
                  <pic:blipFill>
                    <a:blip r:embed="rId63" cstate="print"/>
                    <a:stretch>
                      <a:fillRect/>
                    </a:stretch>
                  </pic:blipFill>
                  <pic:spPr>
                    <a:xfrm>
                      <a:off x="0" y="0"/>
                      <a:ext cx="5055743" cy="248285"/>
                    </a:xfrm>
                    <a:prstGeom prst="rect">
                      <a:avLst/>
                    </a:prstGeom>
                  </pic:spPr>
                </pic:pic>
              </a:graphicData>
            </a:graphic>
          </wp:anchor>
        </w:drawing>
      </w:r>
    </w:p>
    <w:p w14:paraId="47D4FE2C" w14:textId="77777777" w:rsidR="004634C9" w:rsidRDefault="004634C9">
      <w:pPr>
        <w:pStyle w:val="a3"/>
        <w:rPr>
          <w:rFonts w:ascii="宋体"/>
          <w:sz w:val="20"/>
        </w:rPr>
      </w:pPr>
    </w:p>
    <w:p w14:paraId="5127BDE4" w14:textId="77777777" w:rsidR="004634C9" w:rsidRDefault="00000000">
      <w:pPr>
        <w:spacing w:before="165"/>
        <w:ind w:left="825"/>
        <w:rPr>
          <w:sz w:val="28"/>
        </w:rPr>
      </w:pPr>
      <w:r>
        <w:rPr>
          <w:color w:val="7E7E7E"/>
          <w:sz w:val="28"/>
        </w:rPr>
        <w:t>资料来源：上海证券报，万联证券研究所</w:t>
      </w:r>
    </w:p>
    <w:p w14:paraId="7CACC0D8" w14:textId="77777777" w:rsidR="004634C9" w:rsidRDefault="004634C9">
      <w:pPr>
        <w:rPr>
          <w:sz w:val="28"/>
        </w:rPr>
        <w:sectPr w:rsidR="004634C9">
          <w:type w:val="continuous"/>
          <w:pgSz w:w="19200" w:h="10800" w:orient="landscape"/>
          <w:pgMar w:top="1000" w:right="0" w:bottom="280" w:left="0" w:header="720" w:footer="720" w:gutter="0"/>
          <w:cols w:space="720"/>
        </w:sectPr>
      </w:pPr>
    </w:p>
    <w:p w14:paraId="0A6F29B0" w14:textId="77777777" w:rsidR="004634C9" w:rsidRDefault="00000000">
      <w:pPr>
        <w:pStyle w:val="a3"/>
        <w:spacing w:before="15"/>
        <w:rPr>
          <w:sz w:val="10"/>
        </w:rPr>
      </w:pPr>
      <w:r>
        <w:lastRenderedPageBreak/>
        <w:pict w14:anchorId="251D94AA">
          <v:group id="_x0000_s2060" style="position:absolute;margin-left:0;margin-top:161.55pt;width:960pt;height:108.1pt;z-index:251809792;mso-position-horizontal-relative:page;mso-position-vertical-relative:page" coordorigin=",3231" coordsize="19200,2162">
            <v:rect id="_x0000_s2062" style="position:absolute;top:3244;width:19200;height:2148" fillcolor="#c00000" stroked="f"/>
            <v:shape id="_x0000_s2061" type="#_x0000_t202" style="position:absolute;top:3231;width:19200;height:2162" filled="f" stroked="f">
              <v:textbox inset="0,0,0,0">
                <w:txbxContent>
                  <w:p w14:paraId="10D69EBD" w14:textId="77777777" w:rsidR="004634C9" w:rsidRDefault="00000000">
                    <w:pPr>
                      <w:spacing w:before="246" w:line="141" w:lineRule="auto"/>
                      <w:ind w:left="7859" w:right="335" w:hanging="7485"/>
                      <w:rPr>
                        <w:b/>
                        <w:i/>
                        <w:sz w:val="88"/>
                      </w:rPr>
                    </w:pPr>
                    <w:bookmarkStart w:id="37" w:name="幻灯片_38:_总结：严惩严管思路明确，监管系统性提高，特色更鲜明"/>
                    <w:bookmarkEnd w:id="37"/>
                    <w:r>
                      <w:rPr>
                        <w:b/>
                        <w:i/>
                        <w:color w:val="FFFFFF"/>
                        <w:sz w:val="88"/>
                      </w:rPr>
                      <w:t>总结：严惩严管思路明确，监管系统性提高，特色更鲜明</w:t>
                    </w:r>
                  </w:p>
                </w:txbxContent>
              </v:textbox>
            </v:shape>
            <w10:wrap anchorx="page" anchory="page"/>
          </v:group>
        </w:pict>
      </w:r>
    </w:p>
    <w:p w14:paraId="659F0B4B" w14:textId="77777777" w:rsidR="004634C9" w:rsidRDefault="004634C9">
      <w:pPr>
        <w:rPr>
          <w:sz w:val="10"/>
        </w:rPr>
        <w:sectPr w:rsidR="004634C9">
          <w:pgSz w:w="19200" w:h="10800" w:orient="landscape"/>
          <w:pgMar w:top="1200" w:right="0" w:bottom="280" w:left="0" w:header="523" w:footer="0" w:gutter="0"/>
          <w:cols w:space="720"/>
        </w:sectPr>
      </w:pPr>
    </w:p>
    <w:p w14:paraId="21812B97" w14:textId="77777777" w:rsidR="004634C9" w:rsidRDefault="00000000">
      <w:pPr>
        <w:pStyle w:val="a3"/>
        <w:spacing w:before="17"/>
        <w:rPr>
          <w:sz w:val="12"/>
        </w:rPr>
      </w:pPr>
      <w:r>
        <w:lastRenderedPageBreak/>
        <w:pict w14:anchorId="7ADD0C34">
          <v:rect id="_x0000_s2059" style="position:absolute;margin-left:46.1pt;margin-top:77.3pt;width:867.85pt;height:444.95pt;z-index:-253279232;mso-position-horizontal-relative:page;mso-position-vertical-relative:page" filled="f" strokecolor="#c00000" strokeweight="1pt">
            <v:stroke dashstyle="3 1"/>
            <w10:wrap anchorx="page" anchory="page"/>
          </v:rect>
        </w:pict>
      </w:r>
    </w:p>
    <w:p w14:paraId="7372168B" w14:textId="77777777" w:rsidR="004634C9" w:rsidRDefault="00000000">
      <w:pPr>
        <w:pStyle w:val="a4"/>
        <w:numPr>
          <w:ilvl w:val="0"/>
          <w:numId w:val="1"/>
        </w:numPr>
        <w:tabs>
          <w:tab w:val="left" w:pos="1374"/>
        </w:tabs>
        <w:spacing w:before="111" w:line="187" w:lineRule="auto"/>
        <w:ind w:right="1083"/>
        <w:rPr>
          <w:sz w:val="36"/>
        </w:rPr>
      </w:pPr>
      <w:bookmarkStart w:id="38" w:name="幻灯片_39"/>
      <w:bookmarkEnd w:id="38"/>
      <w:r>
        <w:rPr>
          <w:b/>
          <w:i/>
          <w:sz w:val="36"/>
        </w:rPr>
        <w:t>新“国九条”以严监管推动资本市场高质量发展。</w:t>
      </w:r>
      <w:r>
        <w:rPr>
          <w:rFonts w:ascii="Times New Roman" w:eastAsia="Times New Roman" w:hAnsi="Times New Roman"/>
          <w:sz w:val="36"/>
        </w:rPr>
        <w:t>1</w:t>
      </w:r>
      <w:r>
        <w:rPr>
          <w:sz w:val="36"/>
        </w:rPr>
        <w:t>）</w:t>
      </w:r>
      <w:r>
        <w:rPr>
          <w:spacing w:val="-1"/>
          <w:sz w:val="36"/>
        </w:rPr>
        <w:t>国务院发布《关于加强监管防范风险推动资本市场高</w:t>
      </w:r>
      <w:r>
        <w:rPr>
          <w:sz w:val="36"/>
        </w:rPr>
        <w:t>质量发展的若干意见》共九条内容，同时证监会配套“</w:t>
      </w:r>
      <w:r>
        <w:rPr>
          <w:rFonts w:ascii="Times New Roman" w:eastAsia="Times New Roman" w:hAnsi="Times New Roman"/>
          <w:sz w:val="36"/>
        </w:rPr>
        <w:t>1+N”</w:t>
      </w:r>
      <w:r>
        <w:rPr>
          <w:sz w:val="36"/>
        </w:rPr>
        <w:t>政策体系强化高质量发展主线，三大交易所落地部分规则，完善上市公司全周期管理：</w:t>
      </w:r>
      <w:r>
        <w:rPr>
          <w:rFonts w:ascii="Times New Roman" w:eastAsia="Times New Roman" w:hAnsi="Times New Roman"/>
          <w:sz w:val="36"/>
        </w:rPr>
        <w:t>2</w:t>
      </w:r>
      <w:r>
        <w:rPr>
          <w:sz w:val="36"/>
        </w:rPr>
        <w:t>）</w:t>
      </w:r>
      <w:r>
        <w:rPr>
          <w:spacing w:val="-1"/>
          <w:sz w:val="36"/>
        </w:rPr>
        <w:t>顶层政策对资本市场发展的要求从重“量”走向重“质”，一</w:t>
      </w:r>
      <w:r>
        <w:rPr>
          <w:sz w:val="36"/>
        </w:rPr>
        <w:t>方面推动市场主体高质量发展如上市公司严进严出、优胜劣汰：推动券商做优做强：投资者结构优化等， 另一方面加强监管，利于打造安全、规范</w:t>
      </w:r>
      <w:r>
        <w:rPr>
          <w:rFonts w:ascii="Times New Roman" w:eastAsia="Times New Roman" w:hAnsi="Times New Roman"/>
          <w:sz w:val="36"/>
        </w:rPr>
        <w:t>.</w:t>
      </w:r>
      <w:r>
        <w:rPr>
          <w:sz w:val="36"/>
        </w:rPr>
        <w:t>透明、开放、有活力、有韧性的资本市场。</w:t>
      </w:r>
    </w:p>
    <w:p w14:paraId="7AD7D8C4" w14:textId="77777777" w:rsidR="004634C9" w:rsidRDefault="00000000">
      <w:pPr>
        <w:pStyle w:val="a4"/>
        <w:numPr>
          <w:ilvl w:val="0"/>
          <w:numId w:val="1"/>
        </w:numPr>
        <w:tabs>
          <w:tab w:val="left" w:pos="1374"/>
        </w:tabs>
        <w:spacing w:before="4" w:line="187" w:lineRule="auto"/>
        <w:ind w:right="1069"/>
        <w:jc w:val="both"/>
        <w:rPr>
          <w:sz w:val="36"/>
        </w:rPr>
      </w:pPr>
      <w:r>
        <w:rPr>
          <w:b/>
          <w:i/>
          <w:sz w:val="36"/>
        </w:rPr>
        <w:t>上市审核：标准提高，审核趋严，强调符合定位。</w:t>
      </w:r>
      <w:r>
        <w:rPr>
          <w:rFonts w:ascii="Times New Roman" w:eastAsia="Times New Roman" w:hAnsi="Times New Roman"/>
          <w:sz w:val="36"/>
        </w:rPr>
        <w:t>1</w:t>
      </w:r>
      <w:r>
        <w:rPr>
          <w:sz w:val="36"/>
        </w:rPr>
        <w:t>）创业板与主板提升上市标准，科创板提升科创属性要求，而北交所更强调“符合定位”；</w:t>
      </w:r>
      <w:r>
        <w:rPr>
          <w:rFonts w:ascii="Times New Roman" w:eastAsia="Times New Roman" w:hAnsi="Times New Roman"/>
          <w:sz w:val="36"/>
        </w:rPr>
        <w:t>2</w:t>
      </w:r>
      <w:r>
        <w:rPr>
          <w:sz w:val="36"/>
        </w:rPr>
        <w:t>）严监管思想贯穿规则，多处新增“现场核验”和“现场督导”的监管方式，强调各方归位尽责，并提升处罚底线，提高处罚标准；</w:t>
      </w:r>
      <w:r>
        <w:rPr>
          <w:rFonts w:ascii="Times New Roman" w:eastAsia="Times New Roman" w:hAnsi="Times New Roman"/>
          <w:sz w:val="36"/>
        </w:rPr>
        <w:t>3</w:t>
      </w:r>
      <w:r>
        <w:rPr>
          <w:sz w:val="36"/>
        </w:rPr>
        <w:t>）北交所尚未出台定位细则，预计未来将加强“专精特新”属性，建议关注研发占比指标，按照小巨人</w:t>
      </w:r>
      <w:r>
        <w:rPr>
          <w:rFonts w:ascii="Times New Roman" w:eastAsia="Times New Roman" w:hAnsi="Times New Roman"/>
          <w:sz w:val="36"/>
        </w:rPr>
        <w:t>/</w:t>
      </w:r>
      <w:r>
        <w:rPr>
          <w:sz w:val="36"/>
        </w:rPr>
        <w:t>北交所</w:t>
      </w:r>
      <w:r>
        <w:rPr>
          <w:rFonts w:ascii="Times New Roman" w:eastAsia="Times New Roman" w:hAnsi="Times New Roman"/>
          <w:sz w:val="36"/>
        </w:rPr>
        <w:t>/</w:t>
      </w:r>
      <w:r>
        <w:rPr>
          <w:sz w:val="36"/>
        </w:rPr>
        <w:t>科创板研发占比</w:t>
      </w:r>
      <w:r>
        <w:rPr>
          <w:rFonts w:ascii="Times New Roman" w:eastAsia="Times New Roman" w:hAnsi="Times New Roman"/>
          <w:sz w:val="36"/>
        </w:rPr>
        <w:t>3%/4%/5%</w:t>
      </w:r>
      <w:r>
        <w:rPr>
          <w:sz w:val="36"/>
        </w:rPr>
        <w:t>的标准测算，北交所上市企业中</w:t>
      </w:r>
      <w:r>
        <w:rPr>
          <w:rFonts w:ascii="Times New Roman" w:eastAsia="Times New Roman" w:hAnsi="Times New Roman"/>
          <w:sz w:val="36"/>
        </w:rPr>
        <w:t>24.6%</w:t>
      </w:r>
      <w:r>
        <w:rPr>
          <w:sz w:val="36"/>
        </w:rPr>
        <w:t>不符合条件，在审</w:t>
      </w:r>
      <w:r>
        <w:rPr>
          <w:rFonts w:ascii="Times New Roman" w:eastAsia="Times New Roman" w:hAnsi="Times New Roman"/>
          <w:sz w:val="36"/>
        </w:rPr>
        <w:t>108</w:t>
      </w:r>
      <w:r>
        <w:rPr>
          <w:sz w:val="36"/>
        </w:rPr>
        <w:t>家企业</w:t>
      </w:r>
      <w:r>
        <w:rPr>
          <w:rFonts w:ascii="Times New Roman" w:eastAsia="Times New Roman" w:hAnsi="Times New Roman"/>
          <w:sz w:val="36"/>
        </w:rPr>
        <w:t>30.6%</w:t>
      </w:r>
      <w:r>
        <w:rPr>
          <w:sz w:val="36"/>
        </w:rPr>
        <w:t>不符合条件；</w:t>
      </w:r>
      <w:r>
        <w:rPr>
          <w:rFonts w:ascii="Times New Roman" w:eastAsia="Times New Roman" w:hAnsi="Times New Roman"/>
          <w:sz w:val="36"/>
        </w:rPr>
        <w:t>4</w:t>
      </w:r>
      <w:r>
        <w:rPr>
          <w:sz w:val="36"/>
        </w:rPr>
        <w:t>）严守入口关，预计交易所审核及证监会注册时间拉长，撤否率进一步上升，拟上市公司质量提升；</w:t>
      </w:r>
      <w:r>
        <w:rPr>
          <w:rFonts w:ascii="Times New Roman" w:eastAsia="Times New Roman" w:hAnsi="Times New Roman"/>
          <w:sz w:val="36"/>
        </w:rPr>
        <w:t>5</w:t>
      </w:r>
      <w:r>
        <w:rPr>
          <w:sz w:val="36"/>
        </w:rPr>
        <w:t>）分拆上市趋势严，热度预计下降，需观察审核口径。</w:t>
      </w:r>
    </w:p>
    <w:p w14:paraId="45A3C439" w14:textId="77777777" w:rsidR="004634C9" w:rsidRDefault="00000000">
      <w:pPr>
        <w:pStyle w:val="a4"/>
        <w:numPr>
          <w:ilvl w:val="0"/>
          <w:numId w:val="1"/>
        </w:numPr>
        <w:tabs>
          <w:tab w:val="left" w:pos="1374"/>
        </w:tabs>
        <w:spacing w:before="7" w:line="187" w:lineRule="auto"/>
        <w:ind w:right="904"/>
        <w:jc w:val="both"/>
        <w:rPr>
          <w:sz w:val="36"/>
        </w:rPr>
      </w:pPr>
      <w:r>
        <w:rPr>
          <w:b/>
          <w:i/>
          <w:sz w:val="36"/>
        </w:rPr>
        <w:t>减持限制：严防绕道，新增约束。</w:t>
      </w:r>
      <w:r>
        <w:rPr>
          <w:rFonts w:ascii="Times New Roman" w:eastAsia="Times New Roman" w:hAnsi="Times New Roman"/>
          <w:sz w:val="36"/>
        </w:rPr>
        <w:t>1</w:t>
      </w:r>
      <w:r>
        <w:rPr>
          <w:sz w:val="36"/>
        </w:rPr>
        <w:t>）防“绕道”：北交所新增协议转让和大宗交易受让方限制期限与沪深统一；明确司法强制执行、融资融券违规处置、赠与等继续遵守减持规定；</w:t>
      </w:r>
      <w:r>
        <w:rPr>
          <w:rFonts w:ascii="Times New Roman" w:eastAsia="Times New Roman" w:hAnsi="Times New Roman"/>
          <w:sz w:val="36"/>
        </w:rPr>
        <w:t>2</w:t>
      </w:r>
      <w:r>
        <w:rPr>
          <w:sz w:val="36"/>
        </w:rPr>
        <w:t>）北交所规则略比沪深交易所宽松，如非控股股东和实控人的减持计划最长维持</w:t>
      </w:r>
      <w:r>
        <w:rPr>
          <w:rFonts w:ascii="Times New Roman" w:eastAsia="Times New Roman" w:hAnsi="Times New Roman"/>
          <w:sz w:val="36"/>
        </w:rPr>
        <w:t>6</w:t>
      </w:r>
      <w:r>
        <w:rPr>
          <w:sz w:val="36"/>
        </w:rPr>
        <w:t>个月</w:t>
      </w:r>
      <w:r>
        <w:rPr>
          <w:rFonts w:ascii="Times New Roman" w:eastAsia="Times New Roman" w:hAnsi="Times New Roman"/>
          <w:sz w:val="36"/>
        </w:rPr>
        <w:t>(</w:t>
      </w:r>
      <w:r>
        <w:rPr>
          <w:sz w:val="36"/>
        </w:rPr>
        <w:t>而非</w:t>
      </w:r>
      <w:r>
        <w:rPr>
          <w:rFonts w:ascii="Times New Roman" w:eastAsia="Times New Roman" w:hAnsi="Times New Roman"/>
          <w:sz w:val="36"/>
        </w:rPr>
        <w:t>3</w:t>
      </w:r>
      <w:r>
        <w:rPr>
          <w:sz w:val="36"/>
        </w:rPr>
        <w:t>个月），且未规定分红不达标的情形；</w:t>
      </w:r>
      <w:r>
        <w:rPr>
          <w:rFonts w:ascii="Times New Roman" w:eastAsia="Times New Roman" w:hAnsi="Times New Roman"/>
          <w:sz w:val="36"/>
        </w:rPr>
        <w:t>3</w:t>
      </w:r>
      <w:r>
        <w:rPr>
          <w:sz w:val="36"/>
        </w:rPr>
        <w:t>）经测，当前有半数左右公司因破发而减持受限；</w:t>
      </w:r>
      <w:r>
        <w:rPr>
          <w:rFonts w:ascii="Times New Roman" w:eastAsia="Times New Roman" w:hAnsi="Times New Roman"/>
          <w:sz w:val="36"/>
        </w:rPr>
        <w:t>4</w:t>
      </w:r>
      <w:r>
        <w:rPr>
          <w:sz w:val="36"/>
        </w:rPr>
        <w:t>）沪深交易所明确转板公司以转入沪深后首日开盘价为基准</w:t>
      </w:r>
      <w:r>
        <w:rPr>
          <w:spacing w:val="-1"/>
          <w:sz w:val="36"/>
        </w:rPr>
        <w:t>计算是否破发，以精选层转板的三家公司为例当前均低于首日开盘价，这一规则或将影响北交所转板意愿。</w:t>
      </w:r>
    </w:p>
    <w:p w14:paraId="36ABA3A3" w14:textId="77777777" w:rsidR="004634C9" w:rsidRDefault="004634C9">
      <w:pPr>
        <w:spacing w:line="187" w:lineRule="auto"/>
        <w:jc w:val="both"/>
        <w:rPr>
          <w:sz w:val="36"/>
        </w:rPr>
        <w:sectPr w:rsidR="004634C9">
          <w:headerReference w:type="default" r:id="rId64"/>
          <w:pgSz w:w="19200" w:h="10800" w:orient="landscape"/>
          <w:pgMar w:top="1200" w:right="0" w:bottom="0" w:left="0" w:header="523" w:footer="0" w:gutter="0"/>
          <w:cols w:space="720"/>
        </w:sectPr>
      </w:pPr>
    </w:p>
    <w:p w14:paraId="71B17163" w14:textId="77777777" w:rsidR="004634C9" w:rsidRDefault="004634C9">
      <w:pPr>
        <w:pStyle w:val="a3"/>
        <w:spacing w:before="17"/>
        <w:rPr>
          <w:sz w:val="12"/>
        </w:rPr>
      </w:pPr>
    </w:p>
    <w:p w14:paraId="3F57E69D" w14:textId="77777777" w:rsidR="004634C9" w:rsidRDefault="00000000">
      <w:pPr>
        <w:pStyle w:val="a4"/>
        <w:numPr>
          <w:ilvl w:val="0"/>
          <w:numId w:val="1"/>
        </w:numPr>
        <w:tabs>
          <w:tab w:val="left" w:pos="1374"/>
        </w:tabs>
        <w:spacing w:before="111" w:line="187" w:lineRule="auto"/>
        <w:ind w:right="1082"/>
        <w:jc w:val="both"/>
        <w:rPr>
          <w:sz w:val="36"/>
        </w:rPr>
      </w:pPr>
      <w:r>
        <w:pict w14:anchorId="0D2A2DEA">
          <v:rect id="_x0000_s2058" style="position:absolute;left:0;text-align:left;margin-left:46.1pt;margin-top:4.65pt;width:867.85pt;height:392.5pt;z-index:-253278208;mso-position-horizontal-relative:page" filled="f" strokecolor="#c00000" strokeweight="1pt">
            <v:stroke dashstyle="3 1"/>
            <w10:wrap anchorx="page"/>
          </v:rect>
        </w:pict>
      </w:r>
      <w:bookmarkStart w:id="39" w:name="幻灯片_40"/>
      <w:bookmarkEnd w:id="39"/>
      <w:r>
        <w:rPr>
          <w:b/>
          <w:i/>
          <w:sz w:val="36"/>
        </w:rPr>
        <w:t>鼓励分红：沪深交易所强约束，北交所不强制，但实际北证历史股息率明显高于双创。</w:t>
      </w:r>
      <w:r>
        <w:rPr>
          <w:rFonts w:ascii="Times New Roman" w:eastAsia="Times New Roman" w:hAnsi="Times New Roman"/>
          <w:sz w:val="36"/>
        </w:rPr>
        <w:t>1</w:t>
      </w:r>
      <w:r>
        <w:rPr>
          <w:sz w:val="36"/>
        </w:rPr>
        <w:t>）</w:t>
      </w:r>
      <w:r>
        <w:rPr>
          <w:spacing w:val="-3"/>
          <w:sz w:val="36"/>
        </w:rPr>
        <w:t>沪深交易所对分</w:t>
      </w:r>
      <w:r>
        <w:rPr>
          <w:sz w:val="36"/>
        </w:rPr>
        <w:t>红不积极公司进行限制：将现金分红指标纳入</w:t>
      </w:r>
      <w:r>
        <w:rPr>
          <w:rFonts w:ascii="Times New Roman" w:eastAsia="Times New Roman" w:hAnsi="Times New Roman"/>
          <w:sz w:val="36"/>
        </w:rPr>
        <w:t>ST</w:t>
      </w:r>
      <w:r>
        <w:rPr>
          <w:sz w:val="36"/>
        </w:rPr>
        <w:t>风险警示情形，对于有分红能力但不愿意分红的公司实施其他风险警示（双创高研发公司除外）；</w:t>
      </w:r>
      <w:r>
        <w:rPr>
          <w:rFonts w:ascii="Times New Roman" w:eastAsia="Times New Roman" w:hAnsi="Times New Roman"/>
          <w:sz w:val="36"/>
        </w:rPr>
        <w:t>2</w:t>
      </w:r>
      <w:r>
        <w:rPr>
          <w:sz w:val="36"/>
        </w:rPr>
        <w:t>）</w:t>
      </w:r>
      <w:r>
        <w:rPr>
          <w:rFonts w:ascii="Times New Roman" w:eastAsia="Times New Roman" w:hAnsi="Times New Roman"/>
          <w:sz w:val="36"/>
        </w:rPr>
        <w:t>2021</w:t>
      </w:r>
      <w:r>
        <w:rPr>
          <w:sz w:val="36"/>
        </w:rPr>
        <w:t>、</w:t>
      </w:r>
      <w:r>
        <w:rPr>
          <w:rFonts w:ascii="Times New Roman" w:eastAsia="Times New Roman" w:hAnsi="Times New Roman"/>
          <w:sz w:val="36"/>
        </w:rPr>
        <w:t>2022</w:t>
      </w:r>
      <w:r>
        <w:rPr>
          <w:sz w:val="36"/>
        </w:rPr>
        <w:t>和</w:t>
      </w:r>
      <w:r>
        <w:rPr>
          <w:rFonts w:ascii="Times New Roman" w:eastAsia="Times New Roman" w:hAnsi="Times New Roman"/>
          <w:sz w:val="36"/>
        </w:rPr>
        <w:t>2023</w:t>
      </w:r>
      <w:r>
        <w:rPr>
          <w:sz w:val="36"/>
        </w:rPr>
        <w:t>年北交所整体法股息率水平分别为</w:t>
      </w:r>
      <w:r>
        <w:rPr>
          <w:rFonts w:ascii="Times New Roman" w:eastAsia="Times New Roman" w:hAnsi="Times New Roman"/>
          <w:sz w:val="36"/>
        </w:rPr>
        <w:t>0.90%</w:t>
      </w:r>
      <w:r>
        <w:rPr>
          <w:sz w:val="36"/>
        </w:rPr>
        <w:t>、</w:t>
      </w:r>
      <w:r>
        <w:rPr>
          <w:rFonts w:ascii="Times New Roman" w:eastAsia="Times New Roman" w:hAnsi="Times New Roman"/>
          <w:sz w:val="36"/>
        </w:rPr>
        <w:t>1.92%</w:t>
      </w:r>
      <w:r>
        <w:rPr>
          <w:sz w:val="36"/>
        </w:rPr>
        <w:t>和</w:t>
      </w:r>
      <w:r>
        <w:rPr>
          <w:rFonts w:ascii="Times New Roman" w:eastAsia="Times New Roman" w:hAnsi="Times New Roman"/>
          <w:sz w:val="36"/>
        </w:rPr>
        <w:t>1.55%</w:t>
      </w:r>
      <w:r>
        <w:rPr>
          <w:sz w:val="36"/>
        </w:rPr>
        <w:t>，普遍高于科创板和创业板水平、略低于主板水平。</w:t>
      </w:r>
    </w:p>
    <w:p w14:paraId="2A36F46C" w14:textId="77777777" w:rsidR="004634C9" w:rsidRDefault="00000000">
      <w:pPr>
        <w:pStyle w:val="3"/>
        <w:numPr>
          <w:ilvl w:val="0"/>
          <w:numId w:val="1"/>
        </w:numPr>
        <w:tabs>
          <w:tab w:val="left" w:pos="1374"/>
        </w:tabs>
        <w:spacing w:before="3" w:line="187" w:lineRule="auto"/>
        <w:ind w:right="1082"/>
      </w:pPr>
      <w:r>
        <w:rPr>
          <w:b/>
          <w:i/>
          <w:spacing w:val="-1"/>
        </w:rPr>
        <w:t>退市监管：优化标准、严肃纪律。</w:t>
      </w:r>
      <w:r>
        <w:rPr>
          <w:rFonts w:ascii="Times New Roman" w:eastAsia="Times New Roman" w:hAnsi="Times New Roman"/>
          <w:spacing w:val="-1"/>
        </w:rPr>
        <w:t>1</w:t>
      </w:r>
      <w:r>
        <w:rPr>
          <w:spacing w:val="-1"/>
        </w:rPr>
        <w:t>）强制退市：主板市值退市标准从“</w:t>
      </w:r>
      <w:r>
        <w:rPr>
          <w:rFonts w:ascii="Times New Roman" w:eastAsia="Times New Roman" w:hAnsi="Times New Roman"/>
        </w:rPr>
        <w:t>3</w:t>
      </w:r>
      <w:r>
        <w:t>亿元”提高至“</w:t>
      </w:r>
      <w:r>
        <w:rPr>
          <w:rFonts w:ascii="Times New Roman" w:eastAsia="Times New Roman" w:hAnsi="Times New Roman"/>
        </w:rPr>
        <w:t>5</w:t>
      </w:r>
      <w:r>
        <w:t>亿元”，进一步发挥市场化退出功能，科创板和创业板维持“</w:t>
      </w:r>
      <w:r>
        <w:rPr>
          <w:rFonts w:ascii="Times New Roman" w:eastAsia="Times New Roman" w:hAnsi="Times New Roman"/>
        </w:rPr>
        <w:t>3</w:t>
      </w:r>
      <w:r>
        <w:t>亿元”。北交所新增交易量指标，暂时难以触发；</w:t>
      </w:r>
      <w:r>
        <w:rPr>
          <w:rFonts w:ascii="Times New Roman" w:eastAsia="Times New Roman" w:hAnsi="Times New Roman"/>
        </w:rPr>
        <w:t>2</w:t>
      </w:r>
      <w:r>
        <w:t>）财务</w:t>
      </w:r>
      <w:r>
        <w:rPr>
          <w:spacing w:val="-1"/>
        </w:rPr>
        <w:t>类退市标准优化，加强亏损低营收企业出清力度；规范类退市新增三项情形，北交所与沪深规则对齐；</w:t>
      </w:r>
      <w:r>
        <w:rPr>
          <w:rFonts w:ascii="Times New Roman" w:eastAsia="Times New Roman" w:hAnsi="Times New Roman"/>
          <w:spacing w:val="-6"/>
        </w:rPr>
        <w:t>3</w:t>
      </w:r>
      <w:r>
        <w:rPr>
          <w:spacing w:val="-6"/>
        </w:rPr>
        <w:t>）</w:t>
      </w:r>
    </w:p>
    <w:p w14:paraId="194B8F7B" w14:textId="77777777" w:rsidR="004634C9" w:rsidRDefault="00000000">
      <w:pPr>
        <w:spacing w:line="489" w:lineRule="exact"/>
        <w:ind w:left="1373"/>
        <w:rPr>
          <w:sz w:val="36"/>
        </w:rPr>
      </w:pPr>
      <w:r>
        <w:rPr>
          <w:sz w:val="36"/>
        </w:rPr>
        <w:t>打击“保壳”重组，双创板块明确融资需求要与公司规模匹配；</w:t>
      </w:r>
      <w:r>
        <w:rPr>
          <w:rFonts w:ascii="Times New Roman" w:eastAsia="Times New Roman" w:hAnsi="Times New Roman"/>
          <w:sz w:val="36"/>
        </w:rPr>
        <w:t>4</w:t>
      </w:r>
      <w:r>
        <w:rPr>
          <w:sz w:val="36"/>
        </w:rPr>
        <w:t>）明确北交所退市不进新三板而进退市板，</w:t>
      </w:r>
    </w:p>
    <w:p w14:paraId="02CC16A9" w14:textId="77777777" w:rsidR="004634C9" w:rsidRDefault="00000000">
      <w:pPr>
        <w:spacing w:line="519" w:lineRule="exact"/>
        <w:ind w:left="1373"/>
        <w:rPr>
          <w:sz w:val="36"/>
        </w:rPr>
      </w:pPr>
      <w:r>
        <w:rPr>
          <w:sz w:val="36"/>
        </w:rPr>
        <w:t>既与沪深交易所统一，又维护新三板秩序。</w:t>
      </w:r>
    </w:p>
    <w:p w14:paraId="6A8E14FA" w14:textId="77777777" w:rsidR="004634C9" w:rsidRDefault="00000000">
      <w:pPr>
        <w:pStyle w:val="a4"/>
        <w:numPr>
          <w:ilvl w:val="0"/>
          <w:numId w:val="1"/>
        </w:numPr>
        <w:tabs>
          <w:tab w:val="left" w:pos="1374"/>
        </w:tabs>
        <w:spacing w:before="32" w:line="187" w:lineRule="auto"/>
        <w:ind w:right="1074"/>
        <w:rPr>
          <w:sz w:val="36"/>
        </w:rPr>
      </w:pPr>
      <w:r>
        <w:rPr>
          <w:b/>
          <w:i/>
          <w:sz w:val="36"/>
        </w:rPr>
        <w:t>总结：严惩严管思路明确，监管系统性提高，特色更鲜明。</w:t>
      </w:r>
      <w:r>
        <w:rPr>
          <w:rFonts w:ascii="Times New Roman" w:eastAsia="Times New Roman" w:hAnsi="Times New Roman"/>
          <w:sz w:val="36"/>
        </w:rPr>
        <w:t>1</w:t>
      </w:r>
      <w:r>
        <w:rPr>
          <w:sz w:val="36"/>
        </w:rPr>
        <w:t>）沪深交易所提高多项数据指标要求，从严监管基调明确。北交所部分指标略宽松，体现差异化。各交易所、各板块更加清晰定位。</w:t>
      </w:r>
      <w:r>
        <w:rPr>
          <w:rFonts w:ascii="Times New Roman" w:eastAsia="Times New Roman" w:hAnsi="Times New Roman"/>
          <w:sz w:val="36"/>
        </w:rPr>
        <w:t>2</w:t>
      </w:r>
      <w:r>
        <w:rPr>
          <w:sz w:val="36"/>
        </w:rPr>
        <w:t xml:space="preserve">）监管更统一：沪深京交易所基本同步所有监管措施，堵住监管漏洞。对于减持、分拆上市、业绩与分红、打击“壳资源” </w:t>
      </w:r>
      <w:r>
        <w:rPr>
          <w:spacing w:val="-1"/>
          <w:sz w:val="36"/>
        </w:rPr>
        <w:t>等热点问题，预计未来监管细则将同步收紧，进一步提升上市公司质量；</w:t>
      </w:r>
      <w:r>
        <w:rPr>
          <w:rFonts w:ascii="Times New Roman" w:eastAsia="Times New Roman" w:hAnsi="Times New Roman"/>
          <w:sz w:val="36"/>
        </w:rPr>
        <w:t>3</w:t>
      </w:r>
      <w:r>
        <w:rPr>
          <w:sz w:val="36"/>
        </w:rPr>
        <w:t>）特色更鲜明：北交所在修订的规则中，处处加强了“符合定位”的规定，预计年内就定位方面的细则将出台，北交所“专精特新”定位有望增强，特色更加鲜明，有利于提升市场的独立性。</w:t>
      </w:r>
    </w:p>
    <w:p w14:paraId="67C7B4E1" w14:textId="77777777" w:rsidR="004634C9" w:rsidRDefault="004634C9">
      <w:pPr>
        <w:spacing w:line="187" w:lineRule="auto"/>
        <w:rPr>
          <w:sz w:val="36"/>
        </w:rPr>
        <w:sectPr w:rsidR="004634C9">
          <w:pgSz w:w="19200" w:h="10800" w:orient="landscape"/>
          <w:pgMar w:top="1200" w:right="0" w:bottom="280" w:left="0" w:header="523" w:footer="0" w:gutter="0"/>
          <w:cols w:space="720"/>
        </w:sectPr>
      </w:pPr>
    </w:p>
    <w:p w14:paraId="73730875" w14:textId="77777777" w:rsidR="004634C9" w:rsidRDefault="00000000">
      <w:pPr>
        <w:tabs>
          <w:tab w:val="left" w:pos="15043"/>
        </w:tabs>
        <w:spacing w:before="3"/>
        <w:ind w:left="2185"/>
        <w:rPr>
          <w:b/>
          <w:i/>
          <w:sz w:val="53"/>
        </w:rPr>
      </w:pPr>
      <w:r>
        <w:lastRenderedPageBreak/>
        <w:pict w14:anchorId="263029C6">
          <v:group id="_x0000_s2055" style="position:absolute;left:0;text-align:left;margin-left:31.2pt;margin-top:.15pt;width:52.95pt;height:28.45pt;z-index:251812864;mso-position-horizontal-relative:page" coordorigin="624,3" coordsize="1059,569">
            <v:shape id="_x0000_s2057" style="position:absolute;left:624;top:15;width:586;height:557" coordorigin="624,15" coordsize="586,557" path="m931,15r-307,l902,293,624,572r307,l1210,293,931,15xe" fillcolor="#be1b1b" stroked="f">
              <v:path arrowok="t"/>
            </v:shape>
            <v:shape id="_x0000_s2056" style="position:absolute;left:1096;top:3;width:586;height:557" coordorigin="1097,3" coordsize="586,557" path="m1404,3r-307,l1375,281,1097,560r307,l1682,281,1404,3xe" fillcolor="#d9d9d9" stroked="f">
              <v:path arrowok="t"/>
            </v:shape>
            <w10:wrap anchorx="page"/>
          </v:group>
        </w:pict>
      </w:r>
      <w:bookmarkStart w:id="40" w:name="幻灯片_41"/>
      <w:bookmarkEnd w:id="40"/>
      <w:r>
        <w:rPr>
          <w:b/>
          <w:i/>
          <w:color w:val="0D0D0D"/>
          <w:sz w:val="53"/>
        </w:rPr>
        <w:t>免责条款</w:t>
      </w:r>
      <w:r>
        <w:rPr>
          <w:b/>
          <w:i/>
          <w:color w:val="0D0D0D"/>
          <w:sz w:val="53"/>
        </w:rPr>
        <w:tab/>
      </w:r>
      <w:r>
        <w:rPr>
          <w:b/>
          <w:i/>
          <w:noProof/>
          <w:color w:val="0D0D0D"/>
          <w:position w:val="1"/>
          <w:sz w:val="53"/>
        </w:rPr>
        <w:drawing>
          <wp:inline distT="0" distB="0" distL="0" distR="0" wp14:anchorId="20BF5A83" wp14:editId="6800154D">
            <wp:extent cx="2231135" cy="438911"/>
            <wp:effectExtent l="0" t="0" r="0" b="0"/>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2" cstate="print"/>
                    <a:stretch>
                      <a:fillRect/>
                    </a:stretch>
                  </pic:blipFill>
                  <pic:spPr>
                    <a:xfrm>
                      <a:off x="0" y="0"/>
                      <a:ext cx="2231135" cy="438911"/>
                    </a:xfrm>
                    <a:prstGeom prst="rect">
                      <a:avLst/>
                    </a:prstGeom>
                  </pic:spPr>
                </pic:pic>
              </a:graphicData>
            </a:graphic>
          </wp:inline>
        </w:drawing>
      </w:r>
    </w:p>
    <w:p w14:paraId="1F185FDA" w14:textId="77777777" w:rsidR="004634C9" w:rsidRDefault="004634C9">
      <w:pPr>
        <w:pStyle w:val="a3"/>
        <w:rPr>
          <w:b/>
          <w:i/>
          <w:sz w:val="20"/>
        </w:rPr>
      </w:pPr>
    </w:p>
    <w:p w14:paraId="0521DEAE" w14:textId="77777777" w:rsidR="004634C9" w:rsidRDefault="004634C9">
      <w:pPr>
        <w:pStyle w:val="a3"/>
        <w:spacing w:before="16"/>
        <w:rPr>
          <w:b/>
          <w:i/>
          <w:sz w:val="17"/>
        </w:rPr>
      </w:pPr>
    </w:p>
    <w:p w14:paraId="7F685A53" w14:textId="77777777" w:rsidR="004634C9" w:rsidRDefault="00000000">
      <w:pPr>
        <w:spacing w:before="8" w:line="564" w:lineRule="exact"/>
        <w:ind w:left="870"/>
        <w:rPr>
          <w:sz w:val="37"/>
        </w:rPr>
      </w:pPr>
      <w:r>
        <w:rPr>
          <w:color w:val="7E7E7E"/>
          <w:sz w:val="37"/>
        </w:rPr>
        <w:t>万联证券股份有限公司（以下简称“本公司”）是一家覆盖证券经纪、投资银行、投资管理和证券咨询等</w:t>
      </w:r>
    </w:p>
    <w:p w14:paraId="615E2D4B" w14:textId="77777777" w:rsidR="004634C9" w:rsidRDefault="00000000">
      <w:pPr>
        <w:spacing w:line="448" w:lineRule="exact"/>
        <w:ind w:left="870"/>
        <w:rPr>
          <w:sz w:val="37"/>
        </w:rPr>
      </w:pPr>
      <w:r>
        <w:rPr>
          <w:color w:val="7E7E7E"/>
          <w:sz w:val="37"/>
        </w:rPr>
        <w:t>多项业务的全国性综合类证券公司。本公司具有中国证监会许可的证券投资咨询业务资格。</w:t>
      </w:r>
    </w:p>
    <w:p w14:paraId="74FC7BEC" w14:textId="77777777" w:rsidR="004634C9" w:rsidRDefault="00000000">
      <w:pPr>
        <w:spacing w:before="50" w:line="158" w:lineRule="auto"/>
        <w:ind w:left="870" w:right="1189"/>
        <w:jc w:val="both"/>
        <w:rPr>
          <w:sz w:val="37"/>
        </w:rPr>
      </w:pPr>
      <w:r>
        <w:rPr>
          <w:color w:val="7E7E7E"/>
          <w:sz w:val="37"/>
        </w:rPr>
        <w:t>本报告仅供本公司的客户使用。本公司不会因接收人收到本报告而视其为客户。在任何情况下，本报告中的信息或所表述的意见并不构成对任何人的投资建议。本报告中的信息或所表述的意见并未考虑到个别投资者的具体投资目的、财务状况以及特定需求。客户应自主作出投资决策并自行承担投资风险。本公司不对任何人因使用本报告中的内容所导致的损失负任何责任。在法律许可情况下，本公司或其关联机构可能会持有报告中提到的公司所发行的证券头寸并进行交易，还可能为这些公司提供或争取提供投资银行、财务顾问或类似的金融服务。</w:t>
      </w:r>
    </w:p>
    <w:p w14:paraId="152AF93C" w14:textId="77777777" w:rsidR="004634C9" w:rsidRDefault="00000000">
      <w:pPr>
        <w:spacing w:line="387" w:lineRule="exact"/>
        <w:ind w:left="870"/>
        <w:rPr>
          <w:sz w:val="37"/>
        </w:rPr>
      </w:pPr>
      <w:r>
        <w:rPr>
          <w:color w:val="7E7E7E"/>
          <w:sz w:val="37"/>
        </w:rPr>
        <w:t>市场有风险，投资需谨慎。本报告是基于本公司认为可靠且已公开的信息撰写，本公司力求但不保证这些</w:t>
      </w:r>
    </w:p>
    <w:p w14:paraId="2CA826E0" w14:textId="77777777" w:rsidR="004634C9" w:rsidRDefault="00000000">
      <w:pPr>
        <w:spacing w:before="49" w:line="158" w:lineRule="auto"/>
        <w:ind w:left="870" w:right="1189"/>
        <w:jc w:val="both"/>
        <w:rPr>
          <w:sz w:val="37"/>
        </w:rPr>
      </w:pPr>
      <w:r>
        <w:rPr>
          <w:color w:val="7E7E7E"/>
          <w:sz w:val="37"/>
        </w:rPr>
        <w:t>信息的准确性及完整性，也不保证文中的观点或陈述不会发生任何变更。在不同时期，本公司可发出与本报告所载资料、意见及推测不一致的报告。分析师任何形式的分享证券投资收益或者分担证券投资损失的书面或口头承诺均为无效。</w:t>
      </w:r>
    </w:p>
    <w:p w14:paraId="49E81C11" w14:textId="77777777" w:rsidR="004634C9" w:rsidRDefault="00000000">
      <w:pPr>
        <w:spacing w:line="158" w:lineRule="auto"/>
        <w:ind w:left="870" w:right="1189"/>
        <w:jc w:val="both"/>
        <w:rPr>
          <w:sz w:val="37"/>
        </w:rPr>
      </w:pPr>
      <w:r>
        <w:rPr>
          <w:color w:val="7E7E7E"/>
          <w:sz w:val="37"/>
        </w:rPr>
        <w:t>本报告的版权仅为本公司所有，未经书面许可任何机构和个人不得以任何形式翻版、复制、刊登、发表和引用。未经我方许可而引用、刊发或转载的引起法律后果和造成我公司经济损失的概由对方承担，我公司保留追究的权利。</w:t>
      </w:r>
    </w:p>
    <w:p w14:paraId="688996F5" w14:textId="77777777" w:rsidR="004634C9" w:rsidRDefault="004634C9">
      <w:pPr>
        <w:spacing w:line="158" w:lineRule="auto"/>
        <w:jc w:val="both"/>
        <w:rPr>
          <w:sz w:val="37"/>
        </w:rPr>
        <w:sectPr w:rsidR="004634C9">
          <w:headerReference w:type="default" r:id="rId65"/>
          <w:pgSz w:w="19200" w:h="10800" w:orient="landscape"/>
          <w:pgMar w:top="520" w:right="0" w:bottom="280" w:left="0" w:header="0" w:footer="0" w:gutter="0"/>
          <w:cols w:space="720"/>
        </w:sectPr>
      </w:pPr>
    </w:p>
    <w:p w14:paraId="01712C98" w14:textId="77777777" w:rsidR="004634C9" w:rsidRDefault="00000000">
      <w:pPr>
        <w:pStyle w:val="a3"/>
        <w:rPr>
          <w:sz w:val="20"/>
        </w:rPr>
      </w:pPr>
      <w:r>
        <w:lastRenderedPageBreak/>
        <w:pict w14:anchorId="663E1046">
          <v:group id="_x0000_s2050" style="position:absolute;margin-left:0;margin-top:.35pt;width:960pt;height:539.65pt;z-index:-253276160;mso-position-horizontal-relative:page;mso-position-vertical-relative:page" coordorigin=",7" coordsize="19200,10793">
            <v:shape id="_x0000_s2054" type="#_x0000_t75" style="position:absolute;left:15043;top:523;width:3514;height:692">
              <v:imagedata r:id="rId66" o:title=""/>
            </v:shape>
            <v:shape id="_x0000_s2053" style="position:absolute;left:624;top:535;width:586;height:557" coordorigin="624,535" coordsize="586,557" path="m931,535r-307,l902,814,624,1092r307,l1210,814,931,535xe" fillcolor="#be1b1b" stroked="f">
              <v:path arrowok="t"/>
            </v:shape>
            <v:shape id="_x0000_s2052" style="position:absolute;left:1096;top:523;width:586;height:557" coordorigin="1097,523" coordsize="586,557" path="m1404,523r-307,l1375,802r-278,278l1404,1080,1682,802,1404,523xe" fillcolor="#d9d9d9" stroked="f">
              <v:path arrowok="t"/>
            </v:shape>
            <v:shape id="_x0000_s2051" type="#_x0000_t75" style="position:absolute;top:7;width:19200;height:10793">
              <v:imagedata r:id="rId67" o:title=""/>
            </v:shape>
            <w10:wrap anchorx="page" anchory="page"/>
          </v:group>
        </w:pict>
      </w:r>
    </w:p>
    <w:p w14:paraId="6DC872CC" w14:textId="77777777" w:rsidR="004634C9" w:rsidRDefault="004634C9">
      <w:pPr>
        <w:pStyle w:val="a3"/>
        <w:rPr>
          <w:sz w:val="20"/>
        </w:rPr>
      </w:pPr>
    </w:p>
    <w:p w14:paraId="3DE8E310" w14:textId="77777777" w:rsidR="004634C9" w:rsidRDefault="004634C9">
      <w:pPr>
        <w:pStyle w:val="a3"/>
        <w:rPr>
          <w:sz w:val="20"/>
        </w:rPr>
      </w:pPr>
    </w:p>
    <w:p w14:paraId="2A5BB1DC" w14:textId="77777777" w:rsidR="004634C9" w:rsidRDefault="004634C9">
      <w:pPr>
        <w:pStyle w:val="a3"/>
        <w:rPr>
          <w:sz w:val="20"/>
        </w:rPr>
      </w:pPr>
    </w:p>
    <w:p w14:paraId="1AC2FE9F" w14:textId="77777777" w:rsidR="004634C9" w:rsidRDefault="004634C9">
      <w:pPr>
        <w:pStyle w:val="a3"/>
        <w:rPr>
          <w:sz w:val="20"/>
        </w:rPr>
      </w:pPr>
    </w:p>
    <w:p w14:paraId="45AEC7FE" w14:textId="77777777" w:rsidR="004634C9" w:rsidRDefault="004634C9">
      <w:pPr>
        <w:pStyle w:val="a3"/>
        <w:spacing w:before="8"/>
        <w:rPr>
          <w:sz w:val="13"/>
        </w:rPr>
      </w:pPr>
    </w:p>
    <w:p w14:paraId="5D3B37E2" w14:textId="77777777" w:rsidR="004634C9" w:rsidRDefault="00000000">
      <w:pPr>
        <w:spacing w:line="1998" w:lineRule="exact"/>
        <w:ind w:left="3018"/>
        <w:rPr>
          <w:b/>
          <w:i/>
          <w:sz w:val="120"/>
        </w:rPr>
      </w:pPr>
      <w:bookmarkStart w:id="41" w:name="幻灯片_42"/>
      <w:bookmarkEnd w:id="41"/>
      <w:r>
        <w:rPr>
          <w:b/>
          <w:i/>
          <w:color w:val="FFFFFF"/>
          <w:sz w:val="120"/>
        </w:rPr>
        <w:t>牢记使命</w:t>
      </w:r>
    </w:p>
    <w:sectPr w:rsidR="004634C9">
      <w:headerReference w:type="default" r:id="rId68"/>
      <w:pgSz w:w="19200" w:h="10800" w:orient="landscape"/>
      <w:pgMar w:top="10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6B96B" w14:textId="77777777" w:rsidR="00525275" w:rsidRDefault="00525275">
      <w:r>
        <w:separator/>
      </w:r>
    </w:p>
  </w:endnote>
  <w:endnote w:type="continuationSeparator" w:id="0">
    <w:p w14:paraId="1CBE6690" w14:textId="77777777" w:rsidR="00525275" w:rsidRDefault="00525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2A9E" w14:textId="77777777" w:rsidR="00525275" w:rsidRDefault="00525275">
      <w:r>
        <w:separator/>
      </w:r>
    </w:p>
  </w:footnote>
  <w:footnote w:type="continuationSeparator" w:id="0">
    <w:p w14:paraId="17ABDECA" w14:textId="77777777" w:rsidR="00525275" w:rsidRDefault="00525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42FE" w14:textId="77777777" w:rsidR="004634C9" w:rsidRDefault="00000000">
    <w:pPr>
      <w:pStyle w:val="a3"/>
      <w:spacing w:line="14" w:lineRule="auto"/>
      <w:rPr>
        <w:sz w:val="20"/>
      </w:rPr>
    </w:pPr>
    <w:r>
      <w:pict w14:anchorId="1F08FC92">
        <v:group id="_x0000_s1058" style="position:absolute;margin-left:31.2pt;margin-top:26.15pt;width:52.95pt;height:28.45pt;z-index:-253431808;mso-position-horizontal-relative:page;mso-position-vertical-relative:page" coordorigin="624,523" coordsize="1059,569">
          <v:shape id="_x0000_s1060" style="position:absolute;left:624;top:535;width:586;height:557" coordorigin="624,535" coordsize="586,557" path="m931,535r-307,l902,814,624,1092r307,l1210,814,931,535xe" fillcolor="#be1b1b" stroked="f">
            <v:path arrowok="t"/>
          </v:shape>
          <v:shape id="_x0000_s1059"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885696" behindDoc="1" locked="0" layoutInCell="1" allowOverlap="1" wp14:anchorId="36CE2802" wp14:editId="1DE1ACB2">
          <wp:simplePos x="0" y="0"/>
          <wp:positionH relativeFrom="page">
            <wp:posOffset>9552431</wp:posOffset>
          </wp:positionH>
          <wp:positionV relativeFrom="page">
            <wp:posOffset>332231</wp:posOffset>
          </wp:positionV>
          <wp:extent cx="2231135" cy="438911"/>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7D12A" w14:textId="77777777" w:rsidR="004634C9" w:rsidRDefault="004634C9">
    <w:pPr>
      <w:pStyle w:val="a3"/>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8DA80" w14:textId="77777777" w:rsidR="004634C9" w:rsidRDefault="00000000">
    <w:pPr>
      <w:pStyle w:val="a3"/>
      <w:spacing w:line="14" w:lineRule="auto"/>
      <w:rPr>
        <w:sz w:val="20"/>
      </w:rPr>
    </w:pPr>
    <w:r>
      <w:pict w14:anchorId="3AB6186B">
        <v:group id="_x0000_s1038" style="position:absolute;margin-left:31.2pt;margin-top:26.15pt;width:52.95pt;height:28.45pt;z-index:-253415424;mso-position-horizontal-relative:page;mso-position-vertical-relative:page" coordorigin="624,523" coordsize="1059,569">
          <v:shape id="_x0000_s1040" style="position:absolute;left:624;top:535;width:586;height:557" coordorigin="624,535" coordsize="586,557" path="m931,535r-307,l902,814,624,1092r307,l1210,814,931,535xe" fillcolor="#be1b1b" stroked="f">
            <v:path arrowok="t"/>
          </v:shape>
          <v:shape id="_x0000_s1039"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902080" behindDoc="1" locked="0" layoutInCell="1" allowOverlap="1" wp14:anchorId="76D39E4E" wp14:editId="2F6D0395">
          <wp:simplePos x="0" y="0"/>
          <wp:positionH relativeFrom="page">
            <wp:posOffset>9552431</wp:posOffset>
          </wp:positionH>
          <wp:positionV relativeFrom="page">
            <wp:posOffset>332231</wp:posOffset>
          </wp:positionV>
          <wp:extent cx="2231135" cy="438911"/>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4BE7F" w14:textId="77777777" w:rsidR="004634C9" w:rsidRDefault="004634C9">
    <w:pPr>
      <w:pStyle w:val="a3"/>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197F7" w14:textId="77777777" w:rsidR="004634C9" w:rsidRDefault="00000000">
    <w:pPr>
      <w:pStyle w:val="a3"/>
      <w:spacing w:line="14" w:lineRule="auto"/>
      <w:rPr>
        <w:sz w:val="20"/>
      </w:rPr>
    </w:pPr>
    <w:r>
      <w:pict w14:anchorId="042F3EAE">
        <v:group id="_x0000_s1035" style="position:absolute;margin-left:31.2pt;margin-top:26.15pt;width:52.95pt;height:28.45pt;z-index:-253413376;mso-position-horizontal-relative:page;mso-position-vertical-relative:page" coordorigin="624,523" coordsize="1059,569">
          <v:shape id="_x0000_s1037" style="position:absolute;left:624;top:535;width:586;height:557" coordorigin="624,535" coordsize="586,557" path="m931,535r-307,l902,814,624,1092r307,l1210,814,931,535xe" fillcolor="#be1b1b" stroked="f">
            <v:path arrowok="t"/>
          </v:shape>
          <v:shape id="_x0000_s1036"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904128" behindDoc="1" locked="0" layoutInCell="1" allowOverlap="1" wp14:anchorId="23843AA2" wp14:editId="22CA0CC7">
          <wp:simplePos x="0" y="0"/>
          <wp:positionH relativeFrom="page">
            <wp:posOffset>9552431</wp:posOffset>
          </wp:positionH>
          <wp:positionV relativeFrom="page">
            <wp:posOffset>332231</wp:posOffset>
          </wp:positionV>
          <wp:extent cx="2231135" cy="438911"/>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6BA4D" w14:textId="77777777" w:rsidR="004634C9" w:rsidRDefault="00000000">
    <w:pPr>
      <w:pStyle w:val="a3"/>
      <w:spacing w:line="14" w:lineRule="auto"/>
      <w:rPr>
        <w:sz w:val="20"/>
      </w:rPr>
    </w:pPr>
    <w:r>
      <w:pict w14:anchorId="3C590369">
        <v:group id="_x0000_s1032" style="position:absolute;margin-left:31.2pt;margin-top:26.15pt;width:52.95pt;height:28.45pt;z-index:-253411328;mso-position-horizontal-relative:page;mso-position-vertical-relative:page" coordorigin="624,523" coordsize="1059,569">
          <v:shape id="_x0000_s1034" style="position:absolute;left:624;top:535;width:586;height:557" coordorigin="624,535" coordsize="586,557" path="m931,535r-307,l902,814,624,1092r307,l1210,814,931,535xe" fillcolor="#be1b1b" stroked="f">
            <v:path arrowok="t"/>
          </v:shape>
          <v:shape id="_x0000_s1033"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906176" behindDoc="1" locked="0" layoutInCell="1" allowOverlap="1" wp14:anchorId="3DE4BA2C" wp14:editId="0AC6FA76">
          <wp:simplePos x="0" y="0"/>
          <wp:positionH relativeFrom="page">
            <wp:posOffset>9552431</wp:posOffset>
          </wp:positionH>
          <wp:positionV relativeFrom="page">
            <wp:posOffset>332231</wp:posOffset>
          </wp:positionV>
          <wp:extent cx="2231135" cy="438911"/>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09BE8" w14:textId="77777777" w:rsidR="004634C9" w:rsidRDefault="00000000">
    <w:pPr>
      <w:pStyle w:val="a3"/>
      <w:spacing w:line="14" w:lineRule="auto"/>
      <w:rPr>
        <w:sz w:val="20"/>
      </w:rPr>
    </w:pPr>
    <w:r>
      <w:pict w14:anchorId="0E83377E">
        <v:group id="_x0000_s1029" style="position:absolute;margin-left:31.2pt;margin-top:26.15pt;width:52.95pt;height:28.45pt;z-index:-253409280;mso-position-horizontal-relative:page;mso-position-vertical-relative:page" coordorigin="624,523" coordsize="1059,569">
          <v:shape id="_x0000_s1031" style="position:absolute;left:624;top:535;width:586;height:557" coordorigin="624,535" coordsize="586,557" path="m931,535r-307,l902,814,624,1092r307,l1210,814,931,535xe" fillcolor="#be1b1b" stroked="f">
            <v:path arrowok="t"/>
          </v:shape>
          <v:shape id="_x0000_s1030"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908224" behindDoc="1" locked="0" layoutInCell="1" allowOverlap="1" wp14:anchorId="5AF4A035" wp14:editId="75B2FD5F">
          <wp:simplePos x="0" y="0"/>
          <wp:positionH relativeFrom="page">
            <wp:posOffset>9552431</wp:posOffset>
          </wp:positionH>
          <wp:positionV relativeFrom="page">
            <wp:posOffset>332231</wp:posOffset>
          </wp:positionV>
          <wp:extent cx="2231135" cy="438911"/>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487D" w14:textId="77777777" w:rsidR="004634C9" w:rsidRDefault="00000000">
    <w:pPr>
      <w:pStyle w:val="a3"/>
      <w:spacing w:line="14" w:lineRule="auto"/>
      <w:rPr>
        <w:sz w:val="20"/>
      </w:rPr>
    </w:pPr>
    <w:r>
      <w:pict w14:anchorId="6EAF29D5">
        <v:group id="_x0000_s1026" style="position:absolute;margin-left:31.2pt;margin-top:26.15pt;width:52.95pt;height:28.45pt;z-index:-253407232;mso-position-horizontal-relative:page;mso-position-vertical-relative:page" coordorigin="624,523" coordsize="1059,569">
          <v:shape id="_x0000_s1028" style="position:absolute;left:624;top:535;width:586;height:557" coordorigin="624,535" coordsize="586,557" path="m931,535r-307,l902,814,624,1092r307,l1210,814,931,535xe" fillcolor="#be1b1b" stroked="f">
            <v:path arrowok="t"/>
          </v:shape>
          <v:shape id="_x0000_s1027"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910272" behindDoc="1" locked="0" layoutInCell="1" allowOverlap="1" wp14:anchorId="50E4C830" wp14:editId="73E0C45B">
          <wp:simplePos x="0" y="0"/>
          <wp:positionH relativeFrom="page">
            <wp:posOffset>9552431</wp:posOffset>
          </wp:positionH>
          <wp:positionV relativeFrom="page">
            <wp:posOffset>332231</wp:posOffset>
          </wp:positionV>
          <wp:extent cx="2231135" cy="438911"/>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2231135" cy="438911"/>
                  </a:xfrm>
                  <a:prstGeom prst="rect">
                    <a:avLst/>
                  </a:prstGeom>
                </pic:spPr>
              </pic:pic>
            </a:graphicData>
          </a:graphic>
        </wp:anchor>
      </w:drawing>
    </w:r>
    <w:r>
      <w:pict w14:anchorId="10D9DEFB">
        <v:shape id="_x0000_s1025" style="position:absolute;margin-left:90.65pt;margin-top:31.5pt;width:79.5pt;height:19.65pt;z-index:-253405184;mso-position-horizontal-relative:page;mso-position-vertical-relative:page" coordorigin="1813,630" coordsize="1590,393" o:spt="100" adj="0,,0" path="m1957,899r-59,l1890,908r-8,10l1874,927r-9,10l1887,941r22,5l1933,952r24,6l1928,964r-31,5l1862,973r-38,2l1830,987r5,12l1839,1010r3,11l1895,1015r48,-9l1987,993r39,-15l2180,978r3,-5l2077,947r14,-11l2093,934r-70,l2000,929r-21,-5l1960,920r-17,-3l1947,911r5,-6l1957,899xm2180,978r-154,l2057,987r32,11l2123,1009r36,12l2180,978xm2126,899r-60,l2057,909r-10,9l2035,926r-12,8l2093,934r11,-10l2115,912r11,-13xm2201,857r-388,l1813,899r388,l2201,857xm2002,831r-57,l1940,840r-5,8l1929,857r56,l1991,849r5,-9l2002,831xm2181,716r-348,l1833,831r348,l2181,791r-299,l1882,756r299,l2181,716xm1981,756r-47,l1934,791r47,l1981,756xm2080,756r-47,l2033,791r47,l2080,756xm2181,756r-49,l2132,791r49,l2181,756xm1981,689r-47,l1934,716r47,l1981,689xm2080,689r-47,l2033,716r47,l2080,689xm2194,648r-374,l1820,689r374,l2194,648xm2563,747r-304,l2259,896r304,l2563,848r-247,l2316,795r247,l2563,747xm2563,795r-57,l2506,848r57,l2563,795xm2431,633r-56,l2375,747r56,l2431,716r164,l2595,666r-164,l2431,633xm2555,904r-47,20l2518,945r11,22l2540,991r12,26l2601,998r-11,-23l2579,951r-12,-23l2555,904xm2261,907r-10,22l2240,952r-12,23l2215,999r46,24l2275,997r13,-25l2299,949r10,-21l2261,907xm2465,910r-48,15l2425,946r8,20l2441,987r7,21l2500,992r-9,-21l2482,950r-8,-21l2465,910xm2373,914r-49,13l2330,944r7,20l2344,986r8,25l2402,998r-6,-18l2389,959r-7,-22l2373,914xm2757,873r-52,l2705,956r4,25l2720,998r18,11l2764,1013r89,l2865,1012r12,-2l2888,1007r10,-5l2907,994r8,-14l2922,963r-157,l2757,956r,-83xm2650,876r-8,25l2633,925r-9,23l2614,971r47,21l2670,969r10,-24l2689,920r10,-28l2650,876xm2967,877r-49,18l2928,917r9,23l2946,965r8,25l3005,971r-9,-23l2987,924r-10,-23l2967,877xm2880,909r-3,15l2875,935r-3,15l2868,955r-6,3l2857,961r-7,2l2922,963r1,-3l2931,935r-11,-5l2908,924r-13,-7l2880,909xm2818,853r-23,l2771,873r13,14l2797,902r14,16l2825,934r40,-35l2853,886r-12,-11l2829,863r-11,-10xm2954,694r-289,l2665,853r289,l2954,804r-231,l2723,743r231,l2954,694xm2954,743r-58,l2896,804r58,l2954,743xm2750,630r-48,19l2709,660r7,11l2723,683r7,11l2762,694r27,-10l2779,669r-10,-13l2759,643r-9,-13xm2870,633r-10,16l2849,664r-11,16l2828,694r61,l2929,644r-59,-11xm3386,851r-214,l3172,1019r52,l3224,996r162,l3386,948r-162,l3224,898r162,l3386,851xm3386,996r-52,l3334,1019r52,l3386,996xm3160,923r-38,6l3015,944r9,55l3090,988r68,-10l3158,966r,-13l3159,939r1,-16xm3386,898r-52,l3334,948r52,l3386,898xm3134,797r-56,l3061,821r-15,20l3032,857r-13,13l3034,914r19,-4l3079,905r32,-4l3151,896r,-11l3152,873r1,-12l3153,854r-59,l3112,829r20,-28l3134,797xm3154,848r-60,6l3153,854r1,-6xm3391,770r-223,l3168,817r223,l3391,770xm3080,630r-18,42l3045,707r-16,29l3013,758r14,44l3038,801r13,-1l3064,798r14,-1l3134,797r20,-28l3164,753r-93,l3086,730r15,-26l3117,678r15,-29l3080,630xm3305,728r-55,l3250,770r55,l3305,728xm3131,712r-24,40l3071,753r93,l3177,734r-13,-6l3403,728r,-4l3156,724r-25,-12xm3403,681r-247,l3156,724r247,l3403,681xm3305,632r-55,l3250,681r55,l3305,632xe" fillcolor="#0d0d0d" stroked="f">
          <v:stroke joinstyle="round"/>
          <v:formulas/>
          <v:path arrowok="t" o:connecttype="segments"/>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7A30D" w14:textId="77777777" w:rsidR="004634C9" w:rsidRDefault="004634C9">
    <w:pPr>
      <w:pStyle w:val="a3"/>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6F52C" w14:textId="77777777" w:rsidR="004634C9" w:rsidRDefault="004634C9">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380FB" w14:textId="77777777" w:rsidR="004634C9" w:rsidRDefault="00000000">
    <w:pPr>
      <w:pStyle w:val="a3"/>
      <w:spacing w:line="14" w:lineRule="auto"/>
      <w:rPr>
        <w:sz w:val="20"/>
      </w:rPr>
    </w:pPr>
    <w:r>
      <w:pict w14:anchorId="75AAE594">
        <v:group id="_x0000_s1055" style="position:absolute;margin-left:31.2pt;margin-top:26.15pt;width:52.95pt;height:28.45pt;z-index:-253429760;mso-position-horizontal-relative:page;mso-position-vertical-relative:page" coordorigin="624,523" coordsize="1059,569">
          <v:shape id="_x0000_s1057" style="position:absolute;left:624;top:535;width:586;height:557" coordorigin="624,535" coordsize="586,557" path="m931,535r-307,l902,814,624,1092r307,l1210,814,931,535xe" fillcolor="#be1b1b" stroked="f">
            <v:path arrowok="t"/>
          </v:shape>
          <v:shape id="_x0000_s1056"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887744" behindDoc="1" locked="0" layoutInCell="1" allowOverlap="1" wp14:anchorId="38365275" wp14:editId="1706175E">
          <wp:simplePos x="0" y="0"/>
          <wp:positionH relativeFrom="page">
            <wp:posOffset>9552431</wp:posOffset>
          </wp:positionH>
          <wp:positionV relativeFrom="page">
            <wp:posOffset>332231</wp:posOffset>
          </wp:positionV>
          <wp:extent cx="2231135" cy="43891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2231135" cy="438911"/>
                  </a:xfrm>
                  <a:prstGeom prst="rect">
                    <a:avLst/>
                  </a:prstGeom>
                </pic:spPr>
              </pic:pic>
            </a:graphicData>
          </a:graphic>
        </wp:anchor>
      </w:drawing>
    </w:r>
    <w:r>
      <w:rPr>
        <w:noProof/>
      </w:rPr>
      <w:drawing>
        <wp:anchor distT="0" distB="0" distL="0" distR="0" simplePos="0" relativeHeight="249888768" behindDoc="1" locked="0" layoutInCell="1" allowOverlap="1" wp14:anchorId="5FBB21DA" wp14:editId="290E8495">
          <wp:simplePos x="0" y="0"/>
          <wp:positionH relativeFrom="page">
            <wp:posOffset>1640332</wp:posOffset>
          </wp:positionH>
          <wp:positionV relativeFrom="page">
            <wp:posOffset>399415</wp:posOffset>
          </wp:positionV>
          <wp:extent cx="6093333" cy="25107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 cstate="print"/>
                  <a:stretch>
                    <a:fillRect/>
                  </a:stretch>
                </pic:blipFill>
                <pic:spPr>
                  <a:xfrm>
                    <a:off x="0" y="0"/>
                    <a:ext cx="6093333" cy="251079"/>
                  </a:xfrm>
                  <a:prstGeom prst="rect">
                    <a:avLst/>
                  </a:prstGeom>
                </pic:spPr>
              </pic:pic>
            </a:graphicData>
          </a:graphic>
        </wp:anchor>
      </w:drawing>
    </w:r>
    <w:r>
      <w:pict w14:anchorId="2D01208C">
        <v:shape id="_x0000_s1054" style="position:absolute;margin-left:97.45pt;margin-top:33.9pt;width:23pt;height:14.4pt;z-index:-253426688;mso-position-horizontal-relative:page;mso-position-vertical-relative:page" coordorigin="1949,678" coordsize="460,288" o:spt="100" adj="0,,0" path="m2075,759r-55,l2020,966r55,l2075,759xm2075,678r-45,l2025,691r-8,12l2007,714r-11,10l1983,733r-12,8l1960,746r-11,5l1949,801r20,-8l1987,783r17,-11l2020,759r55,l2075,678xm2224,911r-55,l2169,966r55,l2224,911xm2409,759r-55,l2354,966r55,l2409,759xm2409,678r-45,l2358,691r-8,12l2341,714r-12,10l2317,733r-12,8l2293,746r-11,5l2282,801r20,-8l2321,783r17,-11l2354,759r55,l2409,678xe" fillcolor="#0d0d0d" stroked="f">
          <v:stroke joinstyle="round"/>
          <v:formulas/>
          <v:path arrowok="t" o:connecttype="segments"/>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422B" w14:textId="77777777" w:rsidR="004634C9" w:rsidRDefault="004634C9">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08D1" w14:textId="77777777" w:rsidR="004634C9" w:rsidRDefault="00000000">
    <w:pPr>
      <w:pStyle w:val="a3"/>
      <w:spacing w:line="14" w:lineRule="auto"/>
      <w:rPr>
        <w:sz w:val="20"/>
      </w:rPr>
    </w:pPr>
    <w:r>
      <w:pict w14:anchorId="1F4A5B3A">
        <v:group id="_x0000_s1051" style="position:absolute;margin-left:31.2pt;margin-top:26.15pt;width:52.95pt;height:28.45pt;z-index:-253425664;mso-position-horizontal-relative:page;mso-position-vertical-relative:page" coordorigin="624,523" coordsize="1059,569">
          <v:shape id="_x0000_s1053" style="position:absolute;left:624;top:535;width:586;height:557" coordorigin="624,535" coordsize="586,557" path="m931,535r-307,l902,814,624,1092r307,l1210,814,931,535xe" fillcolor="#be1b1b" stroked="f">
            <v:path arrowok="t"/>
          </v:shape>
          <v:shape id="_x0000_s1052"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891840" behindDoc="1" locked="0" layoutInCell="1" allowOverlap="1" wp14:anchorId="029A74AD" wp14:editId="7A7AB197">
          <wp:simplePos x="0" y="0"/>
          <wp:positionH relativeFrom="page">
            <wp:posOffset>9552431</wp:posOffset>
          </wp:positionH>
          <wp:positionV relativeFrom="page">
            <wp:posOffset>332231</wp:posOffset>
          </wp:positionV>
          <wp:extent cx="2231135" cy="438911"/>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27EBC" w14:textId="77777777" w:rsidR="004634C9" w:rsidRDefault="00000000">
    <w:pPr>
      <w:pStyle w:val="a3"/>
      <w:spacing w:line="14" w:lineRule="auto"/>
      <w:rPr>
        <w:sz w:val="20"/>
      </w:rPr>
    </w:pPr>
    <w:r>
      <w:pict w14:anchorId="4FFBD628">
        <v:group id="_x0000_s1048" style="position:absolute;margin-left:31.2pt;margin-top:26.15pt;width:52.95pt;height:28.45pt;z-index:-253423616;mso-position-horizontal-relative:page;mso-position-vertical-relative:page" coordorigin="624,523" coordsize="1059,569">
          <v:shape id="_x0000_s1050" style="position:absolute;left:624;top:535;width:586;height:557" coordorigin="624,535" coordsize="586,557" path="m931,535r-307,l902,814,624,1092r307,l1210,814,931,535xe" fillcolor="#be1b1b" stroked="f">
            <v:path arrowok="t"/>
          </v:shape>
          <v:shape id="_x0000_s1049"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893888" behindDoc="1" locked="0" layoutInCell="1" allowOverlap="1" wp14:anchorId="0B53A775" wp14:editId="234BEEB3">
          <wp:simplePos x="0" y="0"/>
          <wp:positionH relativeFrom="page">
            <wp:posOffset>9552431</wp:posOffset>
          </wp:positionH>
          <wp:positionV relativeFrom="page">
            <wp:posOffset>332231</wp:posOffset>
          </wp:positionV>
          <wp:extent cx="2231135" cy="438911"/>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2231135" cy="438911"/>
                  </a:xfrm>
                  <a:prstGeom prst="rect">
                    <a:avLst/>
                  </a:prstGeom>
                </pic:spPr>
              </pic:pic>
            </a:graphicData>
          </a:graphic>
        </wp:anchor>
      </w:drawing>
    </w:r>
    <w:r>
      <w:rPr>
        <w:noProof/>
      </w:rPr>
      <w:drawing>
        <wp:anchor distT="0" distB="0" distL="0" distR="0" simplePos="0" relativeHeight="249894912" behindDoc="1" locked="0" layoutInCell="1" allowOverlap="1" wp14:anchorId="33110F89" wp14:editId="308DD1B0">
          <wp:simplePos x="0" y="0"/>
          <wp:positionH relativeFrom="page">
            <wp:posOffset>1646808</wp:posOffset>
          </wp:positionH>
          <wp:positionV relativeFrom="page">
            <wp:posOffset>400431</wp:posOffset>
          </wp:positionV>
          <wp:extent cx="2024888" cy="248031"/>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 cstate="print"/>
                  <a:stretch>
                    <a:fillRect/>
                  </a:stretch>
                </pic:blipFill>
                <pic:spPr>
                  <a:xfrm>
                    <a:off x="0" y="0"/>
                    <a:ext cx="2024888" cy="248031"/>
                  </a:xfrm>
                  <a:prstGeom prst="rect">
                    <a:avLst/>
                  </a:prstGeom>
                </pic:spPr>
              </pic:pic>
            </a:graphicData>
          </a:graphic>
        </wp:anchor>
      </w:drawing>
    </w:r>
    <w:r>
      <w:pict w14:anchorId="4BB21B63">
        <v:shape id="_x0000_s1047" style="position:absolute;margin-left:96.35pt;margin-top:33.9pt;width:26.35pt;height:14.4pt;z-index:-253420544;mso-position-horizontal-relative:page;mso-position-vertical-relative:page" coordorigin="1927,678" coordsize="527,288" o:spt="100" adj="0,,0" path="m2112,724r-73,l2048,727r13,13l2065,750r,23l2061,784r-8,12l2047,803r-9,10l2025,827r-17,16l1987,863r-18,18l1956,897r-10,14l1939,925r-6,13l1930,952r-3,14l2120,966r,-51l2011,915r3,-5l2017,905r5,-5l2027,895r7,-7l2043,879r12,-11l2067,857r10,-10l2085,839r6,-7l2098,822r6,-9l2109,804r4,-9l2118,783r2,-12l2120,758r-2,-16l2114,727r-2,-3xm2029,678r-19,1l1993,683r-15,6l1964,698r-11,11l1944,724r-7,18l1934,763r54,6l1989,753r4,-12l2000,734r7,-7l2016,724r96,l2106,713r-10,-12l2082,691r-15,-7l2049,680r-20,-2xm2224,911r-55,l2169,966r55,l2224,911xm2446,724r-73,l2382,727r13,13l2398,750r,23l2395,784r-8,12l2381,803r-10,10l2358,827r-17,16l2320,863r-17,18l2289,897r-9,14l2273,925r-6,13l2263,952r-2,14l2454,966r,-51l2344,915r3,-5l2351,905r5,-5l2360,895r7,-7l2377,879r12,-11l2401,857r10,-10l2419,839r6,-7l2432,822r6,-9l2443,804r4,-9l2451,783r3,-12l2454,758r-2,-16l2447,727r-1,-3xm2363,678r-19,1l2327,683r-15,6l2298,698r-12,11l2277,724r-6,18l2267,763r55,6l2323,753r4,-12l2334,734r7,-7l2350,724r96,l2440,713r-11,-12l2416,691r-16,-7l2383,680r-20,-2xe" fillcolor="#0d0d0d" stroked="f">
          <v:stroke joinstyle="round"/>
          <v:formulas/>
          <v:path arrowok="t" o:connecttype="segments"/>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C5C09" w14:textId="77777777" w:rsidR="004634C9" w:rsidRDefault="004634C9">
    <w:pPr>
      <w:pStyle w:val="a3"/>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A879E" w14:textId="77777777" w:rsidR="004634C9" w:rsidRDefault="00000000">
    <w:pPr>
      <w:pStyle w:val="a3"/>
      <w:spacing w:line="14" w:lineRule="auto"/>
      <w:rPr>
        <w:sz w:val="20"/>
      </w:rPr>
    </w:pPr>
    <w:r>
      <w:pict w14:anchorId="0AD185A0">
        <v:group id="_x0000_s1044" style="position:absolute;margin-left:31.2pt;margin-top:26.15pt;width:52.95pt;height:28.45pt;z-index:-253419520;mso-position-horizontal-relative:page;mso-position-vertical-relative:page" coordorigin="624,523" coordsize="1059,569">
          <v:shape id="_x0000_s1046" style="position:absolute;left:624;top:535;width:586;height:557" coordorigin="624,535" coordsize="586,557" path="m931,535r-307,l902,814,624,1092r307,l1210,814,931,535xe" fillcolor="#be1b1b" stroked="f">
            <v:path arrowok="t"/>
          </v:shape>
          <v:shape id="_x0000_s1045"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897984" behindDoc="1" locked="0" layoutInCell="1" allowOverlap="1" wp14:anchorId="23000ABE" wp14:editId="53A8D6AA">
          <wp:simplePos x="0" y="0"/>
          <wp:positionH relativeFrom="page">
            <wp:posOffset>9552431</wp:posOffset>
          </wp:positionH>
          <wp:positionV relativeFrom="page">
            <wp:posOffset>332231</wp:posOffset>
          </wp:positionV>
          <wp:extent cx="2231135" cy="438911"/>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755EF" w14:textId="77777777" w:rsidR="004634C9" w:rsidRDefault="004634C9">
    <w:pPr>
      <w:pStyle w:val="a3"/>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1407D" w14:textId="77777777" w:rsidR="004634C9" w:rsidRDefault="00000000">
    <w:pPr>
      <w:pStyle w:val="a3"/>
      <w:spacing w:line="14" w:lineRule="auto"/>
      <w:rPr>
        <w:sz w:val="20"/>
      </w:rPr>
    </w:pPr>
    <w:r>
      <w:pict w14:anchorId="0F402814">
        <v:group id="_x0000_s1041" style="position:absolute;margin-left:31.2pt;margin-top:26.15pt;width:52.95pt;height:28.45pt;z-index:-253417472;mso-position-horizontal-relative:page;mso-position-vertical-relative:page" coordorigin="624,523" coordsize="1059,569">
          <v:shape id="_x0000_s1043" style="position:absolute;left:624;top:535;width:586;height:557" coordorigin="624,535" coordsize="586,557" path="m931,535r-307,l902,814,624,1092r307,l1210,814,931,535xe" fillcolor="#be1b1b" stroked="f">
            <v:path arrowok="t"/>
          </v:shape>
          <v:shape id="_x0000_s1042" style="position:absolute;left:1096;top:523;width:586;height:557" coordorigin="1097,523" coordsize="586,557" path="m1404,523r-307,l1375,802r-278,278l1404,1080,1682,802,1404,523xe" fillcolor="#d9d9d9" stroked="f">
            <v:path arrowok="t"/>
          </v:shape>
          <w10:wrap anchorx="page" anchory="page"/>
        </v:group>
      </w:pict>
    </w:r>
    <w:r>
      <w:rPr>
        <w:noProof/>
      </w:rPr>
      <w:drawing>
        <wp:anchor distT="0" distB="0" distL="0" distR="0" simplePos="0" relativeHeight="249900032" behindDoc="1" locked="0" layoutInCell="1" allowOverlap="1" wp14:anchorId="2B4E4575" wp14:editId="74CB6A33">
          <wp:simplePos x="0" y="0"/>
          <wp:positionH relativeFrom="page">
            <wp:posOffset>9552431</wp:posOffset>
          </wp:positionH>
          <wp:positionV relativeFrom="page">
            <wp:posOffset>332231</wp:posOffset>
          </wp:positionV>
          <wp:extent cx="2231135" cy="438911"/>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 cstate="print"/>
                  <a:stretch>
                    <a:fillRect/>
                  </a:stretch>
                </pic:blipFill>
                <pic:spPr>
                  <a:xfrm>
                    <a:off x="0" y="0"/>
                    <a:ext cx="2231135" cy="438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E5FD5"/>
    <w:multiLevelType w:val="hybridMultilevel"/>
    <w:tmpl w:val="54581C12"/>
    <w:lvl w:ilvl="0" w:tplc="23A00FF0">
      <w:start w:val="1"/>
      <w:numFmt w:val="decimal"/>
      <w:lvlText w:val="（%1）"/>
      <w:lvlJc w:val="left"/>
      <w:pPr>
        <w:ind w:left="581" w:hanging="542"/>
        <w:jc w:val="left"/>
      </w:pPr>
      <w:rPr>
        <w:rFonts w:ascii="宋体" w:eastAsia="宋体" w:hAnsi="宋体" w:cs="宋体" w:hint="default"/>
        <w:spacing w:val="-1"/>
        <w:w w:val="103"/>
        <w:sz w:val="19"/>
        <w:szCs w:val="19"/>
        <w:lang w:val="zh-TW" w:eastAsia="zh-TW" w:bidi="zh-TW"/>
      </w:rPr>
    </w:lvl>
    <w:lvl w:ilvl="1" w:tplc="EC144764">
      <w:numFmt w:val="bullet"/>
      <w:lvlText w:val="•"/>
      <w:lvlJc w:val="left"/>
      <w:pPr>
        <w:ind w:left="1319" w:hanging="542"/>
      </w:pPr>
      <w:rPr>
        <w:rFonts w:hint="default"/>
        <w:lang w:val="zh-TW" w:eastAsia="zh-TW" w:bidi="zh-TW"/>
      </w:rPr>
    </w:lvl>
    <w:lvl w:ilvl="2" w:tplc="143A4182">
      <w:numFmt w:val="bullet"/>
      <w:lvlText w:val="•"/>
      <w:lvlJc w:val="left"/>
      <w:pPr>
        <w:ind w:left="2059" w:hanging="542"/>
      </w:pPr>
      <w:rPr>
        <w:rFonts w:hint="default"/>
        <w:lang w:val="zh-TW" w:eastAsia="zh-TW" w:bidi="zh-TW"/>
      </w:rPr>
    </w:lvl>
    <w:lvl w:ilvl="3" w:tplc="80A60858">
      <w:numFmt w:val="bullet"/>
      <w:lvlText w:val="•"/>
      <w:lvlJc w:val="left"/>
      <w:pPr>
        <w:ind w:left="2799" w:hanging="542"/>
      </w:pPr>
      <w:rPr>
        <w:rFonts w:hint="default"/>
        <w:lang w:val="zh-TW" w:eastAsia="zh-TW" w:bidi="zh-TW"/>
      </w:rPr>
    </w:lvl>
    <w:lvl w:ilvl="4" w:tplc="81005A2C">
      <w:numFmt w:val="bullet"/>
      <w:lvlText w:val="•"/>
      <w:lvlJc w:val="left"/>
      <w:pPr>
        <w:ind w:left="3538" w:hanging="542"/>
      </w:pPr>
      <w:rPr>
        <w:rFonts w:hint="default"/>
        <w:lang w:val="zh-TW" w:eastAsia="zh-TW" w:bidi="zh-TW"/>
      </w:rPr>
    </w:lvl>
    <w:lvl w:ilvl="5" w:tplc="B9AA366C">
      <w:numFmt w:val="bullet"/>
      <w:lvlText w:val="•"/>
      <w:lvlJc w:val="left"/>
      <w:pPr>
        <w:ind w:left="4278" w:hanging="542"/>
      </w:pPr>
      <w:rPr>
        <w:rFonts w:hint="default"/>
        <w:lang w:val="zh-TW" w:eastAsia="zh-TW" w:bidi="zh-TW"/>
      </w:rPr>
    </w:lvl>
    <w:lvl w:ilvl="6" w:tplc="254AD786">
      <w:numFmt w:val="bullet"/>
      <w:lvlText w:val="•"/>
      <w:lvlJc w:val="left"/>
      <w:pPr>
        <w:ind w:left="5018" w:hanging="542"/>
      </w:pPr>
      <w:rPr>
        <w:rFonts w:hint="default"/>
        <w:lang w:val="zh-TW" w:eastAsia="zh-TW" w:bidi="zh-TW"/>
      </w:rPr>
    </w:lvl>
    <w:lvl w:ilvl="7" w:tplc="A7F4E28C">
      <w:numFmt w:val="bullet"/>
      <w:lvlText w:val="•"/>
      <w:lvlJc w:val="left"/>
      <w:pPr>
        <w:ind w:left="5757" w:hanging="542"/>
      </w:pPr>
      <w:rPr>
        <w:rFonts w:hint="default"/>
        <w:lang w:val="zh-TW" w:eastAsia="zh-TW" w:bidi="zh-TW"/>
      </w:rPr>
    </w:lvl>
    <w:lvl w:ilvl="8" w:tplc="C92AF006">
      <w:numFmt w:val="bullet"/>
      <w:lvlText w:val="•"/>
      <w:lvlJc w:val="left"/>
      <w:pPr>
        <w:ind w:left="6497" w:hanging="542"/>
      </w:pPr>
      <w:rPr>
        <w:rFonts w:hint="default"/>
        <w:lang w:val="zh-TW" w:eastAsia="zh-TW" w:bidi="zh-TW"/>
      </w:rPr>
    </w:lvl>
  </w:abstractNum>
  <w:abstractNum w:abstractNumId="1" w15:restartNumberingAfterBreak="0">
    <w:nsid w:val="188E4777"/>
    <w:multiLevelType w:val="hybridMultilevel"/>
    <w:tmpl w:val="A6189186"/>
    <w:lvl w:ilvl="0" w:tplc="508A3CF8">
      <w:numFmt w:val="bullet"/>
      <w:lvlText w:val="•"/>
      <w:lvlJc w:val="left"/>
      <w:pPr>
        <w:ind w:left="1132" w:hanging="452"/>
      </w:pPr>
      <w:rPr>
        <w:rFonts w:ascii="Arial" w:eastAsia="Arial" w:hAnsi="Arial" w:cs="Arial" w:hint="default"/>
        <w:w w:val="99"/>
        <w:sz w:val="32"/>
        <w:szCs w:val="32"/>
        <w:lang w:val="zh-TW" w:eastAsia="zh-TW" w:bidi="zh-TW"/>
      </w:rPr>
    </w:lvl>
    <w:lvl w:ilvl="1" w:tplc="6B02BC9C">
      <w:numFmt w:val="bullet"/>
      <w:lvlText w:val=""/>
      <w:lvlJc w:val="left"/>
      <w:pPr>
        <w:ind w:left="1211" w:hanging="316"/>
      </w:pPr>
      <w:rPr>
        <w:rFonts w:ascii="Wingdings" w:eastAsia="Wingdings" w:hAnsi="Wingdings" w:cs="Wingdings" w:hint="default"/>
        <w:spacing w:val="-1"/>
        <w:w w:val="99"/>
        <w:sz w:val="30"/>
        <w:szCs w:val="30"/>
        <w:lang w:val="zh-TW" w:eastAsia="zh-TW" w:bidi="zh-TW"/>
      </w:rPr>
    </w:lvl>
    <w:lvl w:ilvl="2" w:tplc="3E501824">
      <w:numFmt w:val="bullet"/>
      <w:lvlText w:val="•"/>
      <w:lvlJc w:val="left"/>
      <w:pPr>
        <w:ind w:left="1521" w:hanging="452"/>
      </w:pPr>
      <w:rPr>
        <w:rFonts w:ascii="Arial" w:eastAsia="Arial" w:hAnsi="Arial" w:cs="Arial" w:hint="default"/>
        <w:w w:val="99"/>
        <w:sz w:val="32"/>
        <w:szCs w:val="32"/>
        <w:lang w:val="zh-TW" w:eastAsia="zh-TW" w:bidi="zh-TW"/>
      </w:rPr>
    </w:lvl>
    <w:lvl w:ilvl="3" w:tplc="6F1E32E8">
      <w:numFmt w:val="bullet"/>
      <w:lvlText w:val="•"/>
      <w:lvlJc w:val="left"/>
      <w:pPr>
        <w:ind w:left="2459" w:hanging="452"/>
      </w:pPr>
      <w:rPr>
        <w:rFonts w:hint="default"/>
        <w:lang w:val="zh-TW" w:eastAsia="zh-TW" w:bidi="zh-TW"/>
      </w:rPr>
    </w:lvl>
    <w:lvl w:ilvl="4" w:tplc="537056BC">
      <w:numFmt w:val="bullet"/>
      <w:lvlText w:val="•"/>
      <w:lvlJc w:val="left"/>
      <w:pPr>
        <w:ind w:left="3399" w:hanging="452"/>
      </w:pPr>
      <w:rPr>
        <w:rFonts w:hint="default"/>
        <w:lang w:val="zh-TW" w:eastAsia="zh-TW" w:bidi="zh-TW"/>
      </w:rPr>
    </w:lvl>
    <w:lvl w:ilvl="5" w:tplc="D766E802">
      <w:numFmt w:val="bullet"/>
      <w:lvlText w:val="•"/>
      <w:lvlJc w:val="left"/>
      <w:pPr>
        <w:ind w:left="4339" w:hanging="452"/>
      </w:pPr>
      <w:rPr>
        <w:rFonts w:hint="default"/>
        <w:lang w:val="zh-TW" w:eastAsia="zh-TW" w:bidi="zh-TW"/>
      </w:rPr>
    </w:lvl>
    <w:lvl w:ilvl="6" w:tplc="3C54AD10">
      <w:numFmt w:val="bullet"/>
      <w:lvlText w:val="•"/>
      <w:lvlJc w:val="left"/>
      <w:pPr>
        <w:ind w:left="5279" w:hanging="452"/>
      </w:pPr>
      <w:rPr>
        <w:rFonts w:hint="default"/>
        <w:lang w:val="zh-TW" w:eastAsia="zh-TW" w:bidi="zh-TW"/>
      </w:rPr>
    </w:lvl>
    <w:lvl w:ilvl="7" w:tplc="CC9C22CE">
      <w:numFmt w:val="bullet"/>
      <w:lvlText w:val="•"/>
      <w:lvlJc w:val="left"/>
      <w:pPr>
        <w:ind w:left="6219" w:hanging="452"/>
      </w:pPr>
      <w:rPr>
        <w:rFonts w:hint="default"/>
        <w:lang w:val="zh-TW" w:eastAsia="zh-TW" w:bidi="zh-TW"/>
      </w:rPr>
    </w:lvl>
    <w:lvl w:ilvl="8" w:tplc="7BFE45A4">
      <w:numFmt w:val="bullet"/>
      <w:lvlText w:val="•"/>
      <w:lvlJc w:val="left"/>
      <w:pPr>
        <w:ind w:left="7159" w:hanging="452"/>
      </w:pPr>
      <w:rPr>
        <w:rFonts w:hint="default"/>
        <w:lang w:val="zh-TW" w:eastAsia="zh-TW" w:bidi="zh-TW"/>
      </w:rPr>
    </w:lvl>
  </w:abstractNum>
  <w:abstractNum w:abstractNumId="2" w15:restartNumberingAfterBreak="0">
    <w:nsid w:val="2630322B"/>
    <w:multiLevelType w:val="hybridMultilevel"/>
    <w:tmpl w:val="A9D83E18"/>
    <w:lvl w:ilvl="0" w:tplc="8B909A12">
      <w:numFmt w:val="bullet"/>
      <w:lvlText w:val=""/>
      <w:lvlJc w:val="left"/>
      <w:pPr>
        <w:ind w:left="2243" w:hanging="452"/>
      </w:pPr>
      <w:rPr>
        <w:rFonts w:ascii="Wingdings" w:eastAsia="Wingdings" w:hAnsi="Wingdings" w:cs="Wingdings" w:hint="default"/>
        <w:w w:val="99"/>
        <w:sz w:val="32"/>
        <w:szCs w:val="32"/>
        <w:lang w:val="zh-TW" w:eastAsia="zh-TW" w:bidi="zh-TW"/>
      </w:rPr>
    </w:lvl>
    <w:lvl w:ilvl="1" w:tplc="3A7AAF96">
      <w:numFmt w:val="bullet"/>
      <w:lvlText w:val="•"/>
      <w:lvlJc w:val="left"/>
      <w:pPr>
        <w:ind w:left="3936" w:hanging="452"/>
      </w:pPr>
      <w:rPr>
        <w:rFonts w:hint="default"/>
        <w:lang w:val="zh-TW" w:eastAsia="zh-TW" w:bidi="zh-TW"/>
      </w:rPr>
    </w:lvl>
    <w:lvl w:ilvl="2" w:tplc="AD3EAF3A">
      <w:numFmt w:val="bullet"/>
      <w:lvlText w:val="•"/>
      <w:lvlJc w:val="left"/>
      <w:pPr>
        <w:ind w:left="5632" w:hanging="452"/>
      </w:pPr>
      <w:rPr>
        <w:rFonts w:hint="default"/>
        <w:lang w:val="zh-TW" w:eastAsia="zh-TW" w:bidi="zh-TW"/>
      </w:rPr>
    </w:lvl>
    <w:lvl w:ilvl="3" w:tplc="CAE8DE1A">
      <w:numFmt w:val="bullet"/>
      <w:lvlText w:val="•"/>
      <w:lvlJc w:val="left"/>
      <w:pPr>
        <w:ind w:left="7328" w:hanging="452"/>
      </w:pPr>
      <w:rPr>
        <w:rFonts w:hint="default"/>
        <w:lang w:val="zh-TW" w:eastAsia="zh-TW" w:bidi="zh-TW"/>
      </w:rPr>
    </w:lvl>
    <w:lvl w:ilvl="4" w:tplc="0EF66862">
      <w:numFmt w:val="bullet"/>
      <w:lvlText w:val="•"/>
      <w:lvlJc w:val="left"/>
      <w:pPr>
        <w:ind w:left="9024" w:hanging="452"/>
      </w:pPr>
      <w:rPr>
        <w:rFonts w:hint="default"/>
        <w:lang w:val="zh-TW" w:eastAsia="zh-TW" w:bidi="zh-TW"/>
      </w:rPr>
    </w:lvl>
    <w:lvl w:ilvl="5" w:tplc="EBDAC86C">
      <w:numFmt w:val="bullet"/>
      <w:lvlText w:val="•"/>
      <w:lvlJc w:val="left"/>
      <w:pPr>
        <w:ind w:left="10720" w:hanging="452"/>
      </w:pPr>
      <w:rPr>
        <w:rFonts w:hint="default"/>
        <w:lang w:val="zh-TW" w:eastAsia="zh-TW" w:bidi="zh-TW"/>
      </w:rPr>
    </w:lvl>
    <w:lvl w:ilvl="6" w:tplc="51105D14">
      <w:numFmt w:val="bullet"/>
      <w:lvlText w:val="•"/>
      <w:lvlJc w:val="left"/>
      <w:pPr>
        <w:ind w:left="12416" w:hanging="452"/>
      </w:pPr>
      <w:rPr>
        <w:rFonts w:hint="default"/>
        <w:lang w:val="zh-TW" w:eastAsia="zh-TW" w:bidi="zh-TW"/>
      </w:rPr>
    </w:lvl>
    <w:lvl w:ilvl="7" w:tplc="635415A2">
      <w:numFmt w:val="bullet"/>
      <w:lvlText w:val="•"/>
      <w:lvlJc w:val="left"/>
      <w:pPr>
        <w:ind w:left="14112" w:hanging="452"/>
      </w:pPr>
      <w:rPr>
        <w:rFonts w:hint="default"/>
        <w:lang w:val="zh-TW" w:eastAsia="zh-TW" w:bidi="zh-TW"/>
      </w:rPr>
    </w:lvl>
    <w:lvl w:ilvl="8" w:tplc="55FCFF5A">
      <w:numFmt w:val="bullet"/>
      <w:lvlText w:val="•"/>
      <w:lvlJc w:val="left"/>
      <w:pPr>
        <w:ind w:left="15808" w:hanging="452"/>
      </w:pPr>
      <w:rPr>
        <w:rFonts w:hint="default"/>
        <w:lang w:val="zh-TW" w:eastAsia="zh-TW" w:bidi="zh-TW"/>
      </w:rPr>
    </w:lvl>
  </w:abstractNum>
  <w:abstractNum w:abstractNumId="3" w15:restartNumberingAfterBreak="0">
    <w:nsid w:val="2F0342F3"/>
    <w:multiLevelType w:val="hybridMultilevel"/>
    <w:tmpl w:val="5000A954"/>
    <w:lvl w:ilvl="0" w:tplc="79EA7ED8">
      <w:numFmt w:val="bullet"/>
      <w:lvlText w:val=""/>
      <w:lvlJc w:val="left"/>
      <w:pPr>
        <w:ind w:left="1373" w:hanging="452"/>
      </w:pPr>
      <w:rPr>
        <w:rFonts w:ascii="Wingdings" w:eastAsia="Wingdings" w:hAnsi="Wingdings" w:cs="Wingdings" w:hint="default"/>
        <w:w w:val="100"/>
        <w:sz w:val="36"/>
        <w:szCs w:val="36"/>
        <w:lang w:val="zh-TW" w:eastAsia="zh-TW" w:bidi="zh-TW"/>
      </w:rPr>
    </w:lvl>
    <w:lvl w:ilvl="1" w:tplc="B0F2A114">
      <w:numFmt w:val="bullet"/>
      <w:lvlText w:val="•"/>
      <w:lvlJc w:val="left"/>
      <w:pPr>
        <w:ind w:left="3162" w:hanging="452"/>
      </w:pPr>
      <w:rPr>
        <w:rFonts w:hint="default"/>
        <w:lang w:val="zh-TW" w:eastAsia="zh-TW" w:bidi="zh-TW"/>
      </w:rPr>
    </w:lvl>
    <w:lvl w:ilvl="2" w:tplc="F704FDE4">
      <w:numFmt w:val="bullet"/>
      <w:lvlText w:val="•"/>
      <w:lvlJc w:val="left"/>
      <w:pPr>
        <w:ind w:left="4944" w:hanging="452"/>
      </w:pPr>
      <w:rPr>
        <w:rFonts w:hint="default"/>
        <w:lang w:val="zh-TW" w:eastAsia="zh-TW" w:bidi="zh-TW"/>
      </w:rPr>
    </w:lvl>
    <w:lvl w:ilvl="3" w:tplc="C28E46C2">
      <w:numFmt w:val="bullet"/>
      <w:lvlText w:val="•"/>
      <w:lvlJc w:val="left"/>
      <w:pPr>
        <w:ind w:left="6726" w:hanging="452"/>
      </w:pPr>
      <w:rPr>
        <w:rFonts w:hint="default"/>
        <w:lang w:val="zh-TW" w:eastAsia="zh-TW" w:bidi="zh-TW"/>
      </w:rPr>
    </w:lvl>
    <w:lvl w:ilvl="4" w:tplc="00BEBA50">
      <w:numFmt w:val="bullet"/>
      <w:lvlText w:val="•"/>
      <w:lvlJc w:val="left"/>
      <w:pPr>
        <w:ind w:left="8508" w:hanging="452"/>
      </w:pPr>
      <w:rPr>
        <w:rFonts w:hint="default"/>
        <w:lang w:val="zh-TW" w:eastAsia="zh-TW" w:bidi="zh-TW"/>
      </w:rPr>
    </w:lvl>
    <w:lvl w:ilvl="5" w:tplc="1A84AEC4">
      <w:numFmt w:val="bullet"/>
      <w:lvlText w:val="•"/>
      <w:lvlJc w:val="left"/>
      <w:pPr>
        <w:ind w:left="10290" w:hanging="452"/>
      </w:pPr>
      <w:rPr>
        <w:rFonts w:hint="default"/>
        <w:lang w:val="zh-TW" w:eastAsia="zh-TW" w:bidi="zh-TW"/>
      </w:rPr>
    </w:lvl>
    <w:lvl w:ilvl="6" w:tplc="2256A0A6">
      <w:numFmt w:val="bullet"/>
      <w:lvlText w:val="•"/>
      <w:lvlJc w:val="left"/>
      <w:pPr>
        <w:ind w:left="12072" w:hanging="452"/>
      </w:pPr>
      <w:rPr>
        <w:rFonts w:hint="default"/>
        <w:lang w:val="zh-TW" w:eastAsia="zh-TW" w:bidi="zh-TW"/>
      </w:rPr>
    </w:lvl>
    <w:lvl w:ilvl="7" w:tplc="8D28AFF2">
      <w:numFmt w:val="bullet"/>
      <w:lvlText w:val="•"/>
      <w:lvlJc w:val="left"/>
      <w:pPr>
        <w:ind w:left="13854" w:hanging="452"/>
      </w:pPr>
      <w:rPr>
        <w:rFonts w:hint="default"/>
        <w:lang w:val="zh-TW" w:eastAsia="zh-TW" w:bidi="zh-TW"/>
      </w:rPr>
    </w:lvl>
    <w:lvl w:ilvl="8" w:tplc="8378FE62">
      <w:numFmt w:val="bullet"/>
      <w:lvlText w:val="•"/>
      <w:lvlJc w:val="left"/>
      <w:pPr>
        <w:ind w:left="15636" w:hanging="452"/>
      </w:pPr>
      <w:rPr>
        <w:rFonts w:hint="default"/>
        <w:lang w:val="zh-TW" w:eastAsia="zh-TW" w:bidi="zh-TW"/>
      </w:rPr>
    </w:lvl>
  </w:abstractNum>
  <w:abstractNum w:abstractNumId="4" w15:restartNumberingAfterBreak="0">
    <w:nsid w:val="2F6C77ED"/>
    <w:multiLevelType w:val="hybridMultilevel"/>
    <w:tmpl w:val="331C436E"/>
    <w:lvl w:ilvl="0" w:tplc="5E869894">
      <w:start w:val="1"/>
      <w:numFmt w:val="decimal"/>
      <w:lvlText w:val="%1."/>
      <w:lvlJc w:val="left"/>
      <w:pPr>
        <w:ind w:left="3790" w:hanging="540"/>
        <w:jc w:val="left"/>
      </w:pPr>
      <w:rPr>
        <w:rFonts w:ascii="Times New Roman" w:eastAsia="Times New Roman" w:hAnsi="Times New Roman" w:cs="Times New Roman" w:hint="default"/>
        <w:w w:val="100"/>
        <w:sz w:val="48"/>
        <w:szCs w:val="48"/>
        <w:lang w:val="zh-TW" w:eastAsia="zh-TW" w:bidi="zh-TW"/>
      </w:rPr>
    </w:lvl>
    <w:lvl w:ilvl="1" w:tplc="E33067BA">
      <w:numFmt w:val="bullet"/>
      <w:lvlText w:val="•"/>
      <w:lvlJc w:val="left"/>
      <w:pPr>
        <w:ind w:left="5340" w:hanging="540"/>
      </w:pPr>
      <w:rPr>
        <w:rFonts w:hint="default"/>
        <w:lang w:val="zh-TW" w:eastAsia="zh-TW" w:bidi="zh-TW"/>
      </w:rPr>
    </w:lvl>
    <w:lvl w:ilvl="2" w:tplc="AA22598A">
      <w:numFmt w:val="bullet"/>
      <w:lvlText w:val="•"/>
      <w:lvlJc w:val="left"/>
      <w:pPr>
        <w:ind w:left="6880" w:hanging="540"/>
      </w:pPr>
      <w:rPr>
        <w:rFonts w:hint="default"/>
        <w:lang w:val="zh-TW" w:eastAsia="zh-TW" w:bidi="zh-TW"/>
      </w:rPr>
    </w:lvl>
    <w:lvl w:ilvl="3" w:tplc="54F83E8C">
      <w:numFmt w:val="bullet"/>
      <w:lvlText w:val="•"/>
      <w:lvlJc w:val="left"/>
      <w:pPr>
        <w:ind w:left="8420" w:hanging="540"/>
      </w:pPr>
      <w:rPr>
        <w:rFonts w:hint="default"/>
        <w:lang w:val="zh-TW" w:eastAsia="zh-TW" w:bidi="zh-TW"/>
      </w:rPr>
    </w:lvl>
    <w:lvl w:ilvl="4" w:tplc="CDBC555A">
      <w:numFmt w:val="bullet"/>
      <w:lvlText w:val="•"/>
      <w:lvlJc w:val="left"/>
      <w:pPr>
        <w:ind w:left="9960" w:hanging="540"/>
      </w:pPr>
      <w:rPr>
        <w:rFonts w:hint="default"/>
        <w:lang w:val="zh-TW" w:eastAsia="zh-TW" w:bidi="zh-TW"/>
      </w:rPr>
    </w:lvl>
    <w:lvl w:ilvl="5" w:tplc="AE1C19B6">
      <w:numFmt w:val="bullet"/>
      <w:lvlText w:val="•"/>
      <w:lvlJc w:val="left"/>
      <w:pPr>
        <w:ind w:left="11500" w:hanging="540"/>
      </w:pPr>
      <w:rPr>
        <w:rFonts w:hint="default"/>
        <w:lang w:val="zh-TW" w:eastAsia="zh-TW" w:bidi="zh-TW"/>
      </w:rPr>
    </w:lvl>
    <w:lvl w:ilvl="6" w:tplc="9F52782C">
      <w:numFmt w:val="bullet"/>
      <w:lvlText w:val="•"/>
      <w:lvlJc w:val="left"/>
      <w:pPr>
        <w:ind w:left="13040" w:hanging="540"/>
      </w:pPr>
      <w:rPr>
        <w:rFonts w:hint="default"/>
        <w:lang w:val="zh-TW" w:eastAsia="zh-TW" w:bidi="zh-TW"/>
      </w:rPr>
    </w:lvl>
    <w:lvl w:ilvl="7" w:tplc="C56AFA90">
      <w:numFmt w:val="bullet"/>
      <w:lvlText w:val="•"/>
      <w:lvlJc w:val="left"/>
      <w:pPr>
        <w:ind w:left="14580" w:hanging="540"/>
      </w:pPr>
      <w:rPr>
        <w:rFonts w:hint="default"/>
        <w:lang w:val="zh-TW" w:eastAsia="zh-TW" w:bidi="zh-TW"/>
      </w:rPr>
    </w:lvl>
    <w:lvl w:ilvl="8" w:tplc="F83A6B42">
      <w:numFmt w:val="bullet"/>
      <w:lvlText w:val="•"/>
      <w:lvlJc w:val="left"/>
      <w:pPr>
        <w:ind w:left="16120" w:hanging="540"/>
      </w:pPr>
      <w:rPr>
        <w:rFonts w:hint="default"/>
        <w:lang w:val="zh-TW" w:eastAsia="zh-TW" w:bidi="zh-TW"/>
      </w:rPr>
    </w:lvl>
  </w:abstractNum>
  <w:abstractNum w:abstractNumId="5" w15:restartNumberingAfterBreak="0">
    <w:nsid w:val="35ED7FBE"/>
    <w:multiLevelType w:val="hybridMultilevel"/>
    <w:tmpl w:val="BAC46D6E"/>
    <w:lvl w:ilvl="0" w:tplc="A7145420">
      <w:start w:val="1"/>
      <w:numFmt w:val="decimal"/>
      <w:lvlText w:val="（%1）"/>
      <w:lvlJc w:val="left"/>
      <w:pPr>
        <w:ind w:left="2111" w:hanging="921"/>
        <w:jc w:val="right"/>
      </w:pPr>
      <w:rPr>
        <w:rFonts w:hint="default"/>
        <w:b/>
        <w:bCs/>
        <w:i/>
        <w:spacing w:val="-4"/>
        <w:w w:val="99"/>
        <w:lang w:val="zh-TW" w:eastAsia="zh-TW" w:bidi="zh-TW"/>
      </w:rPr>
    </w:lvl>
    <w:lvl w:ilvl="1" w:tplc="A16AEF28">
      <w:numFmt w:val="bullet"/>
      <w:lvlText w:val="•"/>
      <w:lvlJc w:val="left"/>
      <w:pPr>
        <w:ind w:left="3828" w:hanging="921"/>
      </w:pPr>
      <w:rPr>
        <w:rFonts w:hint="default"/>
        <w:lang w:val="zh-TW" w:eastAsia="zh-TW" w:bidi="zh-TW"/>
      </w:rPr>
    </w:lvl>
    <w:lvl w:ilvl="2" w:tplc="7E3C26E4">
      <w:numFmt w:val="bullet"/>
      <w:lvlText w:val="•"/>
      <w:lvlJc w:val="left"/>
      <w:pPr>
        <w:ind w:left="5536" w:hanging="921"/>
      </w:pPr>
      <w:rPr>
        <w:rFonts w:hint="default"/>
        <w:lang w:val="zh-TW" w:eastAsia="zh-TW" w:bidi="zh-TW"/>
      </w:rPr>
    </w:lvl>
    <w:lvl w:ilvl="3" w:tplc="735025B2">
      <w:numFmt w:val="bullet"/>
      <w:lvlText w:val="•"/>
      <w:lvlJc w:val="left"/>
      <w:pPr>
        <w:ind w:left="7244" w:hanging="921"/>
      </w:pPr>
      <w:rPr>
        <w:rFonts w:hint="default"/>
        <w:lang w:val="zh-TW" w:eastAsia="zh-TW" w:bidi="zh-TW"/>
      </w:rPr>
    </w:lvl>
    <w:lvl w:ilvl="4" w:tplc="A9CEAE36">
      <w:numFmt w:val="bullet"/>
      <w:lvlText w:val="•"/>
      <w:lvlJc w:val="left"/>
      <w:pPr>
        <w:ind w:left="8952" w:hanging="921"/>
      </w:pPr>
      <w:rPr>
        <w:rFonts w:hint="default"/>
        <w:lang w:val="zh-TW" w:eastAsia="zh-TW" w:bidi="zh-TW"/>
      </w:rPr>
    </w:lvl>
    <w:lvl w:ilvl="5" w:tplc="CAB6482C">
      <w:numFmt w:val="bullet"/>
      <w:lvlText w:val="•"/>
      <w:lvlJc w:val="left"/>
      <w:pPr>
        <w:ind w:left="10660" w:hanging="921"/>
      </w:pPr>
      <w:rPr>
        <w:rFonts w:hint="default"/>
        <w:lang w:val="zh-TW" w:eastAsia="zh-TW" w:bidi="zh-TW"/>
      </w:rPr>
    </w:lvl>
    <w:lvl w:ilvl="6" w:tplc="2E76F2E4">
      <w:numFmt w:val="bullet"/>
      <w:lvlText w:val="•"/>
      <w:lvlJc w:val="left"/>
      <w:pPr>
        <w:ind w:left="12368" w:hanging="921"/>
      </w:pPr>
      <w:rPr>
        <w:rFonts w:hint="default"/>
        <w:lang w:val="zh-TW" w:eastAsia="zh-TW" w:bidi="zh-TW"/>
      </w:rPr>
    </w:lvl>
    <w:lvl w:ilvl="7" w:tplc="A91C4B4E">
      <w:numFmt w:val="bullet"/>
      <w:lvlText w:val="•"/>
      <w:lvlJc w:val="left"/>
      <w:pPr>
        <w:ind w:left="14076" w:hanging="921"/>
      </w:pPr>
      <w:rPr>
        <w:rFonts w:hint="default"/>
        <w:lang w:val="zh-TW" w:eastAsia="zh-TW" w:bidi="zh-TW"/>
      </w:rPr>
    </w:lvl>
    <w:lvl w:ilvl="8" w:tplc="746E28DE">
      <w:numFmt w:val="bullet"/>
      <w:lvlText w:val="•"/>
      <w:lvlJc w:val="left"/>
      <w:pPr>
        <w:ind w:left="15784" w:hanging="921"/>
      </w:pPr>
      <w:rPr>
        <w:rFonts w:hint="default"/>
        <w:lang w:val="zh-TW" w:eastAsia="zh-TW" w:bidi="zh-TW"/>
      </w:rPr>
    </w:lvl>
  </w:abstractNum>
  <w:abstractNum w:abstractNumId="6" w15:restartNumberingAfterBreak="0">
    <w:nsid w:val="3DC32D67"/>
    <w:multiLevelType w:val="hybridMultilevel"/>
    <w:tmpl w:val="1C622918"/>
    <w:lvl w:ilvl="0" w:tplc="C7103776">
      <w:numFmt w:val="bullet"/>
      <w:lvlText w:val=""/>
      <w:lvlJc w:val="left"/>
      <w:pPr>
        <w:ind w:left="1443" w:hanging="452"/>
      </w:pPr>
      <w:rPr>
        <w:rFonts w:ascii="Wingdings" w:eastAsia="Wingdings" w:hAnsi="Wingdings" w:cs="Wingdings" w:hint="default"/>
        <w:w w:val="100"/>
        <w:sz w:val="36"/>
        <w:szCs w:val="36"/>
        <w:lang w:val="zh-TW" w:eastAsia="zh-TW" w:bidi="zh-TW"/>
      </w:rPr>
    </w:lvl>
    <w:lvl w:ilvl="1" w:tplc="1D4C46E2">
      <w:numFmt w:val="bullet"/>
      <w:lvlText w:val="•"/>
      <w:lvlJc w:val="left"/>
      <w:pPr>
        <w:ind w:left="3216" w:hanging="452"/>
      </w:pPr>
      <w:rPr>
        <w:rFonts w:hint="default"/>
        <w:lang w:val="zh-TW" w:eastAsia="zh-TW" w:bidi="zh-TW"/>
      </w:rPr>
    </w:lvl>
    <w:lvl w:ilvl="2" w:tplc="B1104500">
      <w:numFmt w:val="bullet"/>
      <w:lvlText w:val="•"/>
      <w:lvlJc w:val="left"/>
      <w:pPr>
        <w:ind w:left="4992" w:hanging="452"/>
      </w:pPr>
      <w:rPr>
        <w:rFonts w:hint="default"/>
        <w:lang w:val="zh-TW" w:eastAsia="zh-TW" w:bidi="zh-TW"/>
      </w:rPr>
    </w:lvl>
    <w:lvl w:ilvl="3" w:tplc="78B07632">
      <w:numFmt w:val="bullet"/>
      <w:lvlText w:val="•"/>
      <w:lvlJc w:val="left"/>
      <w:pPr>
        <w:ind w:left="6768" w:hanging="452"/>
      </w:pPr>
      <w:rPr>
        <w:rFonts w:hint="default"/>
        <w:lang w:val="zh-TW" w:eastAsia="zh-TW" w:bidi="zh-TW"/>
      </w:rPr>
    </w:lvl>
    <w:lvl w:ilvl="4" w:tplc="B680CFB2">
      <w:numFmt w:val="bullet"/>
      <w:lvlText w:val="•"/>
      <w:lvlJc w:val="left"/>
      <w:pPr>
        <w:ind w:left="8544" w:hanging="452"/>
      </w:pPr>
      <w:rPr>
        <w:rFonts w:hint="default"/>
        <w:lang w:val="zh-TW" w:eastAsia="zh-TW" w:bidi="zh-TW"/>
      </w:rPr>
    </w:lvl>
    <w:lvl w:ilvl="5" w:tplc="55FE8AD0">
      <w:numFmt w:val="bullet"/>
      <w:lvlText w:val="•"/>
      <w:lvlJc w:val="left"/>
      <w:pPr>
        <w:ind w:left="10320" w:hanging="452"/>
      </w:pPr>
      <w:rPr>
        <w:rFonts w:hint="default"/>
        <w:lang w:val="zh-TW" w:eastAsia="zh-TW" w:bidi="zh-TW"/>
      </w:rPr>
    </w:lvl>
    <w:lvl w:ilvl="6" w:tplc="C45CB518">
      <w:numFmt w:val="bullet"/>
      <w:lvlText w:val="•"/>
      <w:lvlJc w:val="left"/>
      <w:pPr>
        <w:ind w:left="12096" w:hanging="452"/>
      </w:pPr>
      <w:rPr>
        <w:rFonts w:hint="default"/>
        <w:lang w:val="zh-TW" w:eastAsia="zh-TW" w:bidi="zh-TW"/>
      </w:rPr>
    </w:lvl>
    <w:lvl w:ilvl="7" w:tplc="F7D420D0">
      <w:numFmt w:val="bullet"/>
      <w:lvlText w:val="•"/>
      <w:lvlJc w:val="left"/>
      <w:pPr>
        <w:ind w:left="13872" w:hanging="452"/>
      </w:pPr>
      <w:rPr>
        <w:rFonts w:hint="default"/>
        <w:lang w:val="zh-TW" w:eastAsia="zh-TW" w:bidi="zh-TW"/>
      </w:rPr>
    </w:lvl>
    <w:lvl w:ilvl="8" w:tplc="2146D5A8">
      <w:numFmt w:val="bullet"/>
      <w:lvlText w:val="•"/>
      <w:lvlJc w:val="left"/>
      <w:pPr>
        <w:ind w:left="15648" w:hanging="452"/>
      </w:pPr>
      <w:rPr>
        <w:rFonts w:hint="default"/>
        <w:lang w:val="zh-TW" w:eastAsia="zh-TW" w:bidi="zh-TW"/>
      </w:rPr>
    </w:lvl>
  </w:abstractNum>
  <w:abstractNum w:abstractNumId="7" w15:restartNumberingAfterBreak="0">
    <w:nsid w:val="400B2F00"/>
    <w:multiLevelType w:val="hybridMultilevel"/>
    <w:tmpl w:val="AF3C0AB4"/>
    <w:lvl w:ilvl="0" w:tplc="DCB8FD94">
      <w:numFmt w:val="bullet"/>
      <w:lvlText w:val="•"/>
      <w:lvlJc w:val="left"/>
      <w:pPr>
        <w:ind w:left="1384" w:hanging="452"/>
      </w:pPr>
      <w:rPr>
        <w:rFonts w:ascii="Arial" w:eastAsia="Arial" w:hAnsi="Arial" w:cs="Arial" w:hint="default"/>
        <w:w w:val="99"/>
        <w:sz w:val="32"/>
        <w:szCs w:val="32"/>
        <w:lang w:val="zh-TW" w:eastAsia="zh-TW" w:bidi="zh-TW"/>
      </w:rPr>
    </w:lvl>
    <w:lvl w:ilvl="1" w:tplc="DAAECF46">
      <w:numFmt w:val="bullet"/>
      <w:lvlText w:val="•"/>
      <w:lvlJc w:val="left"/>
      <w:pPr>
        <w:ind w:left="3162" w:hanging="452"/>
      </w:pPr>
      <w:rPr>
        <w:rFonts w:hint="default"/>
        <w:lang w:val="zh-TW" w:eastAsia="zh-TW" w:bidi="zh-TW"/>
      </w:rPr>
    </w:lvl>
    <w:lvl w:ilvl="2" w:tplc="4328B296">
      <w:numFmt w:val="bullet"/>
      <w:lvlText w:val="•"/>
      <w:lvlJc w:val="left"/>
      <w:pPr>
        <w:ind w:left="4944" w:hanging="452"/>
      </w:pPr>
      <w:rPr>
        <w:rFonts w:hint="default"/>
        <w:lang w:val="zh-TW" w:eastAsia="zh-TW" w:bidi="zh-TW"/>
      </w:rPr>
    </w:lvl>
    <w:lvl w:ilvl="3" w:tplc="ADE83730">
      <w:numFmt w:val="bullet"/>
      <w:lvlText w:val="•"/>
      <w:lvlJc w:val="left"/>
      <w:pPr>
        <w:ind w:left="6726" w:hanging="452"/>
      </w:pPr>
      <w:rPr>
        <w:rFonts w:hint="default"/>
        <w:lang w:val="zh-TW" w:eastAsia="zh-TW" w:bidi="zh-TW"/>
      </w:rPr>
    </w:lvl>
    <w:lvl w:ilvl="4" w:tplc="A406E406">
      <w:numFmt w:val="bullet"/>
      <w:lvlText w:val="•"/>
      <w:lvlJc w:val="left"/>
      <w:pPr>
        <w:ind w:left="8508" w:hanging="452"/>
      </w:pPr>
      <w:rPr>
        <w:rFonts w:hint="default"/>
        <w:lang w:val="zh-TW" w:eastAsia="zh-TW" w:bidi="zh-TW"/>
      </w:rPr>
    </w:lvl>
    <w:lvl w:ilvl="5" w:tplc="5C2690D6">
      <w:numFmt w:val="bullet"/>
      <w:lvlText w:val="•"/>
      <w:lvlJc w:val="left"/>
      <w:pPr>
        <w:ind w:left="10290" w:hanging="452"/>
      </w:pPr>
      <w:rPr>
        <w:rFonts w:hint="default"/>
        <w:lang w:val="zh-TW" w:eastAsia="zh-TW" w:bidi="zh-TW"/>
      </w:rPr>
    </w:lvl>
    <w:lvl w:ilvl="6" w:tplc="052CCE56">
      <w:numFmt w:val="bullet"/>
      <w:lvlText w:val="•"/>
      <w:lvlJc w:val="left"/>
      <w:pPr>
        <w:ind w:left="12072" w:hanging="452"/>
      </w:pPr>
      <w:rPr>
        <w:rFonts w:hint="default"/>
        <w:lang w:val="zh-TW" w:eastAsia="zh-TW" w:bidi="zh-TW"/>
      </w:rPr>
    </w:lvl>
    <w:lvl w:ilvl="7" w:tplc="4374478C">
      <w:numFmt w:val="bullet"/>
      <w:lvlText w:val="•"/>
      <w:lvlJc w:val="left"/>
      <w:pPr>
        <w:ind w:left="13854" w:hanging="452"/>
      </w:pPr>
      <w:rPr>
        <w:rFonts w:hint="default"/>
        <w:lang w:val="zh-TW" w:eastAsia="zh-TW" w:bidi="zh-TW"/>
      </w:rPr>
    </w:lvl>
    <w:lvl w:ilvl="8" w:tplc="244A8018">
      <w:numFmt w:val="bullet"/>
      <w:lvlText w:val="•"/>
      <w:lvlJc w:val="left"/>
      <w:pPr>
        <w:ind w:left="15636" w:hanging="452"/>
      </w:pPr>
      <w:rPr>
        <w:rFonts w:hint="default"/>
        <w:lang w:val="zh-TW" w:eastAsia="zh-TW" w:bidi="zh-TW"/>
      </w:rPr>
    </w:lvl>
  </w:abstractNum>
  <w:abstractNum w:abstractNumId="8" w15:restartNumberingAfterBreak="0">
    <w:nsid w:val="45E51759"/>
    <w:multiLevelType w:val="hybridMultilevel"/>
    <w:tmpl w:val="C8E48206"/>
    <w:lvl w:ilvl="0" w:tplc="90661C1A">
      <w:numFmt w:val="bullet"/>
      <w:lvlText w:val=""/>
      <w:lvlJc w:val="left"/>
      <w:pPr>
        <w:ind w:left="958" w:hanging="317"/>
      </w:pPr>
      <w:rPr>
        <w:rFonts w:ascii="Wingdings" w:eastAsia="Wingdings" w:hAnsi="Wingdings" w:cs="Wingdings" w:hint="default"/>
        <w:spacing w:val="-1"/>
        <w:w w:val="99"/>
        <w:sz w:val="30"/>
        <w:szCs w:val="30"/>
        <w:lang w:val="zh-TW" w:eastAsia="zh-TW" w:bidi="zh-TW"/>
      </w:rPr>
    </w:lvl>
    <w:lvl w:ilvl="1" w:tplc="90A21AE2">
      <w:numFmt w:val="bullet"/>
      <w:lvlText w:val=""/>
      <w:lvlJc w:val="left"/>
      <w:pPr>
        <w:ind w:left="1174" w:hanging="317"/>
      </w:pPr>
      <w:rPr>
        <w:rFonts w:ascii="Wingdings" w:eastAsia="Wingdings" w:hAnsi="Wingdings" w:cs="Wingdings" w:hint="default"/>
        <w:spacing w:val="-1"/>
        <w:w w:val="99"/>
        <w:sz w:val="30"/>
        <w:szCs w:val="30"/>
        <w:lang w:val="zh-TW" w:eastAsia="zh-TW" w:bidi="zh-TW"/>
      </w:rPr>
    </w:lvl>
    <w:lvl w:ilvl="2" w:tplc="B9E037B6">
      <w:numFmt w:val="bullet"/>
      <w:lvlText w:val="•"/>
      <w:lvlJc w:val="left"/>
      <w:pPr>
        <w:ind w:left="3182" w:hanging="317"/>
      </w:pPr>
      <w:rPr>
        <w:rFonts w:hint="default"/>
        <w:lang w:val="zh-TW" w:eastAsia="zh-TW" w:bidi="zh-TW"/>
      </w:rPr>
    </w:lvl>
    <w:lvl w:ilvl="3" w:tplc="B46078EA">
      <w:numFmt w:val="bullet"/>
      <w:lvlText w:val="•"/>
      <w:lvlJc w:val="left"/>
      <w:pPr>
        <w:ind w:left="5184" w:hanging="317"/>
      </w:pPr>
      <w:rPr>
        <w:rFonts w:hint="default"/>
        <w:lang w:val="zh-TW" w:eastAsia="zh-TW" w:bidi="zh-TW"/>
      </w:rPr>
    </w:lvl>
    <w:lvl w:ilvl="4" w:tplc="17603000">
      <w:numFmt w:val="bullet"/>
      <w:lvlText w:val="•"/>
      <w:lvlJc w:val="left"/>
      <w:pPr>
        <w:ind w:left="7186" w:hanging="317"/>
      </w:pPr>
      <w:rPr>
        <w:rFonts w:hint="default"/>
        <w:lang w:val="zh-TW" w:eastAsia="zh-TW" w:bidi="zh-TW"/>
      </w:rPr>
    </w:lvl>
    <w:lvl w:ilvl="5" w:tplc="C4580C08">
      <w:numFmt w:val="bullet"/>
      <w:lvlText w:val="•"/>
      <w:lvlJc w:val="left"/>
      <w:pPr>
        <w:ind w:left="9188" w:hanging="317"/>
      </w:pPr>
      <w:rPr>
        <w:rFonts w:hint="default"/>
        <w:lang w:val="zh-TW" w:eastAsia="zh-TW" w:bidi="zh-TW"/>
      </w:rPr>
    </w:lvl>
    <w:lvl w:ilvl="6" w:tplc="D5FCBB7A">
      <w:numFmt w:val="bullet"/>
      <w:lvlText w:val="•"/>
      <w:lvlJc w:val="left"/>
      <w:pPr>
        <w:ind w:left="11191" w:hanging="317"/>
      </w:pPr>
      <w:rPr>
        <w:rFonts w:hint="default"/>
        <w:lang w:val="zh-TW" w:eastAsia="zh-TW" w:bidi="zh-TW"/>
      </w:rPr>
    </w:lvl>
    <w:lvl w:ilvl="7" w:tplc="C18E1624">
      <w:numFmt w:val="bullet"/>
      <w:lvlText w:val="•"/>
      <w:lvlJc w:val="left"/>
      <w:pPr>
        <w:ind w:left="13193" w:hanging="317"/>
      </w:pPr>
      <w:rPr>
        <w:rFonts w:hint="default"/>
        <w:lang w:val="zh-TW" w:eastAsia="zh-TW" w:bidi="zh-TW"/>
      </w:rPr>
    </w:lvl>
    <w:lvl w:ilvl="8" w:tplc="C69A87AE">
      <w:numFmt w:val="bullet"/>
      <w:lvlText w:val="•"/>
      <w:lvlJc w:val="left"/>
      <w:pPr>
        <w:ind w:left="15195" w:hanging="317"/>
      </w:pPr>
      <w:rPr>
        <w:rFonts w:hint="default"/>
        <w:lang w:val="zh-TW" w:eastAsia="zh-TW" w:bidi="zh-TW"/>
      </w:rPr>
    </w:lvl>
  </w:abstractNum>
  <w:abstractNum w:abstractNumId="9" w15:restartNumberingAfterBreak="0">
    <w:nsid w:val="4BEE24AF"/>
    <w:multiLevelType w:val="hybridMultilevel"/>
    <w:tmpl w:val="1728D234"/>
    <w:lvl w:ilvl="0" w:tplc="A3EAE068">
      <w:numFmt w:val="bullet"/>
      <w:lvlText w:val=""/>
      <w:lvlJc w:val="left"/>
      <w:pPr>
        <w:ind w:left="1211" w:hanging="316"/>
      </w:pPr>
      <w:rPr>
        <w:rFonts w:ascii="Wingdings" w:eastAsia="Wingdings" w:hAnsi="Wingdings" w:cs="Wingdings" w:hint="default"/>
        <w:spacing w:val="-1"/>
        <w:w w:val="99"/>
        <w:sz w:val="30"/>
        <w:szCs w:val="30"/>
        <w:lang w:val="zh-TW" w:eastAsia="zh-TW" w:bidi="zh-TW"/>
      </w:rPr>
    </w:lvl>
    <w:lvl w:ilvl="1" w:tplc="820695B8">
      <w:numFmt w:val="bullet"/>
      <w:lvlText w:val="•"/>
      <w:lvlJc w:val="left"/>
      <w:pPr>
        <w:ind w:left="3018" w:hanging="316"/>
      </w:pPr>
      <w:rPr>
        <w:rFonts w:hint="default"/>
        <w:lang w:val="zh-TW" w:eastAsia="zh-TW" w:bidi="zh-TW"/>
      </w:rPr>
    </w:lvl>
    <w:lvl w:ilvl="2" w:tplc="3F3A0C54">
      <w:numFmt w:val="bullet"/>
      <w:lvlText w:val="•"/>
      <w:lvlJc w:val="left"/>
      <w:pPr>
        <w:ind w:left="4816" w:hanging="316"/>
      </w:pPr>
      <w:rPr>
        <w:rFonts w:hint="default"/>
        <w:lang w:val="zh-TW" w:eastAsia="zh-TW" w:bidi="zh-TW"/>
      </w:rPr>
    </w:lvl>
    <w:lvl w:ilvl="3" w:tplc="77FED5AC">
      <w:numFmt w:val="bullet"/>
      <w:lvlText w:val="•"/>
      <w:lvlJc w:val="left"/>
      <w:pPr>
        <w:ind w:left="6614" w:hanging="316"/>
      </w:pPr>
      <w:rPr>
        <w:rFonts w:hint="default"/>
        <w:lang w:val="zh-TW" w:eastAsia="zh-TW" w:bidi="zh-TW"/>
      </w:rPr>
    </w:lvl>
    <w:lvl w:ilvl="4" w:tplc="BBE0F02E">
      <w:numFmt w:val="bullet"/>
      <w:lvlText w:val="•"/>
      <w:lvlJc w:val="left"/>
      <w:pPr>
        <w:ind w:left="8412" w:hanging="316"/>
      </w:pPr>
      <w:rPr>
        <w:rFonts w:hint="default"/>
        <w:lang w:val="zh-TW" w:eastAsia="zh-TW" w:bidi="zh-TW"/>
      </w:rPr>
    </w:lvl>
    <w:lvl w:ilvl="5" w:tplc="C99020BE">
      <w:numFmt w:val="bullet"/>
      <w:lvlText w:val="•"/>
      <w:lvlJc w:val="left"/>
      <w:pPr>
        <w:ind w:left="10210" w:hanging="316"/>
      </w:pPr>
      <w:rPr>
        <w:rFonts w:hint="default"/>
        <w:lang w:val="zh-TW" w:eastAsia="zh-TW" w:bidi="zh-TW"/>
      </w:rPr>
    </w:lvl>
    <w:lvl w:ilvl="6" w:tplc="6ACE00B8">
      <w:numFmt w:val="bullet"/>
      <w:lvlText w:val="•"/>
      <w:lvlJc w:val="left"/>
      <w:pPr>
        <w:ind w:left="12008" w:hanging="316"/>
      </w:pPr>
      <w:rPr>
        <w:rFonts w:hint="default"/>
        <w:lang w:val="zh-TW" w:eastAsia="zh-TW" w:bidi="zh-TW"/>
      </w:rPr>
    </w:lvl>
    <w:lvl w:ilvl="7" w:tplc="FB545BBA">
      <w:numFmt w:val="bullet"/>
      <w:lvlText w:val="•"/>
      <w:lvlJc w:val="left"/>
      <w:pPr>
        <w:ind w:left="13806" w:hanging="316"/>
      </w:pPr>
      <w:rPr>
        <w:rFonts w:hint="default"/>
        <w:lang w:val="zh-TW" w:eastAsia="zh-TW" w:bidi="zh-TW"/>
      </w:rPr>
    </w:lvl>
    <w:lvl w:ilvl="8" w:tplc="68560414">
      <w:numFmt w:val="bullet"/>
      <w:lvlText w:val="•"/>
      <w:lvlJc w:val="left"/>
      <w:pPr>
        <w:ind w:left="15604" w:hanging="316"/>
      </w:pPr>
      <w:rPr>
        <w:rFonts w:hint="default"/>
        <w:lang w:val="zh-TW" w:eastAsia="zh-TW" w:bidi="zh-TW"/>
      </w:rPr>
    </w:lvl>
  </w:abstractNum>
  <w:abstractNum w:abstractNumId="10" w15:restartNumberingAfterBreak="0">
    <w:nsid w:val="4ECA5ED7"/>
    <w:multiLevelType w:val="hybridMultilevel"/>
    <w:tmpl w:val="51127524"/>
    <w:lvl w:ilvl="0" w:tplc="6D4448BC">
      <w:numFmt w:val="bullet"/>
      <w:lvlText w:val=""/>
      <w:lvlJc w:val="left"/>
      <w:pPr>
        <w:ind w:left="1118" w:hanging="316"/>
      </w:pPr>
      <w:rPr>
        <w:rFonts w:ascii="Wingdings" w:eastAsia="Wingdings" w:hAnsi="Wingdings" w:cs="Wingdings" w:hint="default"/>
        <w:spacing w:val="-1"/>
        <w:w w:val="99"/>
        <w:sz w:val="30"/>
        <w:szCs w:val="30"/>
        <w:lang w:val="zh-TW" w:eastAsia="zh-TW" w:bidi="zh-TW"/>
      </w:rPr>
    </w:lvl>
    <w:lvl w:ilvl="1" w:tplc="A68A7A3A">
      <w:numFmt w:val="bullet"/>
      <w:lvlText w:val="•"/>
      <w:lvlJc w:val="left"/>
      <w:pPr>
        <w:ind w:left="1498" w:hanging="452"/>
      </w:pPr>
      <w:rPr>
        <w:rFonts w:ascii="Arial" w:eastAsia="Arial" w:hAnsi="Arial" w:cs="Arial" w:hint="default"/>
        <w:w w:val="100"/>
        <w:sz w:val="28"/>
        <w:szCs w:val="28"/>
        <w:lang w:val="zh-TW" w:eastAsia="zh-TW" w:bidi="zh-TW"/>
      </w:rPr>
    </w:lvl>
    <w:lvl w:ilvl="2" w:tplc="95DA6A54">
      <w:numFmt w:val="bullet"/>
      <w:lvlText w:val="•"/>
      <w:lvlJc w:val="left"/>
      <w:pPr>
        <w:ind w:left="3466" w:hanging="452"/>
      </w:pPr>
      <w:rPr>
        <w:rFonts w:hint="default"/>
        <w:lang w:val="zh-TW" w:eastAsia="zh-TW" w:bidi="zh-TW"/>
      </w:rPr>
    </w:lvl>
    <w:lvl w:ilvl="3" w:tplc="8B3ADAD4">
      <w:numFmt w:val="bullet"/>
      <w:lvlText w:val="•"/>
      <w:lvlJc w:val="left"/>
      <w:pPr>
        <w:ind w:left="5433" w:hanging="452"/>
      </w:pPr>
      <w:rPr>
        <w:rFonts w:hint="default"/>
        <w:lang w:val="zh-TW" w:eastAsia="zh-TW" w:bidi="zh-TW"/>
      </w:rPr>
    </w:lvl>
    <w:lvl w:ilvl="4" w:tplc="9DA66402">
      <w:numFmt w:val="bullet"/>
      <w:lvlText w:val="•"/>
      <w:lvlJc w:val="left"/>
      <w:pPr>
        <w:ind w:left="7400" w:hanging="452"/>
      </w:pPr>
      <w:rPr>
        <w:rFonts w:hint="default"/>
        <w:lang w:val="zh-TW" w:eastAsia="zh-TW" w:bidi="zh-TW"/>
      </w:rPr>
    </w:lvl>
    <w:lvl w:ilvl="5" w:tplc="3D1EF89C">
      <w:numFmt w:val="bullet"/>
      <w:lvlText w:val="•"/>
      <w:lvlJc w:val="left"/>
      <w:pPr>
        <w:ind w:left="9366" w:hanging="452"/>
      </w:pPr>
      <w:rPr>
        <w:rFonts w:hint="default"/>
        <w:lang w:val="zh-TW" w:eastAsia="zh-TW" w:bidi="zh-TW"/>
      </w:rPr>
    </w:lvl>
    <w:lvl w:ilvl="6" w:tplc="097E8986">
      <w:numFmt w:val="bullet"/>
      <w:lvlText w:val="•"/>
      <w:lvlJc w:val="left"/>
      <w:pPr>
        <w:ind w:left="11333" w:hanging="452"/>
      </w:pPr>
      <w:rPr>
        <w:rFonts w:hint="default"/>
        <w:lang w:val="zh-TW" w:eastAsia="zh-TW" w:bidi="zh-TW"/>
      </w:rPr>
    </w:lvl>
    <w:lvl w:ilvl="7" w:tplc="4776ED1C">
      <w:numFmt w:val="bullet"/>
      <w:lvlText w:val="•"/>
      <w:lvlJc w:val="left"/>
      <w:pPr>
        <w:ind w:left="13300" w:hanging="452"/>
      </w:pPr>
      <w:rPr>
        <w:rFonts w:hint="default"/>
        <w:lang w:val="zh-TW" w:eastAsia="zh-TW" w:bidi="zh-TW"/>
      </w:rPr>
    </w:lvl>
    <w:lvl w:ilvl="8" w:tplc="DCDA268C">
      <w:numFmt w:val="bullet"/>
      <w:lvlText w:val="•"/>
      <w:lvlJc w:val="left"/>
      <w:pPr>
        <w:ind w:left="15266" w:hanging="452"/>
      </w:pPr>
      <w:rPr>
        <w:rFonts w:hint="default"/>
        <w:lang w:val="zh-TW" w:eastAsia="zh-TW" w:bidi="zh-TW"/>
      </w:rPr>
    </w:lvl>
  </w:abstractNum>
  <w:abstractNum w:abstractNumId="11" w15:restartNumberingAfterBreak="0">
    <w:nsid w:val="6A77147D"/>
    <w:multiLevelType w:val="hybridMultilevel"/>
    <w:tmpl w:val="5FD632E8"/>
    <w:lvl w:ilvl="0" w:tplc="37EA885E">
      <w:numFmt w:val="bullet"/>
      <w:lvlText w:val=""/>
      <w:lvlJc w:val="left"/>
      <w:pPr>
        <w:ind w:left="1211" w:hanging="316"/>
      </w:pPr>
      <w:rPr>
        <w:rFonts w:ascii="Wingdings" w:eastAsia="Wingdings" w:hAnsi="Wingdings" w:cs="Wingdings" w:hint="default"/>
        <w:spacing w:val="-1"/>
        <w:w w:val="99"/>
        <w:sz w:val="30"/>
        <w:szCs w:val="30"/>
        <w:lang w:val="zh-TW" w:eastAsia="zh-TW" w:bidi="zh-TW"/>
      </w:rPr>
    </w:lvl>
    <w:lvl w:ilvl="1" w:tplc="E792685C">
      <w:numFmt w:val="bullet"/>
      <w:lvlText w:val="•"/>
      <w:lvlJc w:val="left"/>
      <w:pPr>
        <w:ind w:left="3018" w:hanging="316"/>
      </w:pPr>
      <w:rPr>
        <w:rFonts w:hint="default"/>
        <w:lang w:val="zh-TW" w:eastAsia="zh-TW" w:bidi="zh-TW"/>
      </w:rPr>
    </w:lvl>
    <w:lvl w:ilvl="2" w:tplc="F77A8EB2">
      <w:numFmt w:val="bullet"/>
      <w:lvlText w:val="•"/>
      <w:lvlJc w:val="left"/>
      <w:pPr>
        <w:ind w:left="4816" w:hanging="316"/>
      </w:pPr>
      <w:rPr>
        <w:rFonts w:hint="default"/>
        <w:lang w:val="zh-TW" w:eastAsia="zh-TW" w:bidi="zh-TW"/>
      </w:rPr>
    </w:lvl>
    <w:lvl w:ilvl="3" w:tplc="EE8AC1CE">
      <w:numFmt w:val="bullet"/>
      <w:lvlText w:val="•"/>
      <w:lvlJc w:val="left"/>
      <w:pPr>
        <w:ind w:left="6614" w:hanging="316"/>
      </w:pPr>
      <w:rPr>
        <w:rFonts w:hint="default"/>
        <w:lang w:val="zh-TW" w:eastAsia="zh-TW" w:bidi="zh-TW"/>
      </w:rPr>
    </w:lvl>
    <w:lvl w:ilvl="4" w:tplc="9D9CDCDC">
      <w:numFmt w:val="bullet"/>
      <w:lvlText w:val="•"/>
      <w:lvlJc w:val="left"/>
      <w:pPr>
        <w:ind w:left="8412" w:hanging="316"/>
      </w:pPr>
      <w:rPr>
        <w:rFonts w:hint="default"/>
        <w:lang w:val="zh-TW" w:eastAsia="zh-TW" w:bidi="zh-TW"/>
      </w:rPr>
    </w:lvl>
    <w:lvl w:ilvl="5" w:tplc="928ED206">
      <w:numFmt w:val="bullet"/>
      <w:lvlText w:val="•"/>
      <w:lvlJc w:val="left"/>
      <w:pPr>
        <w:ind w:left="10210" w:hanging="316"/>
      </w:pPr>
      <w:rPr>
        <w:rFonts w:hint="default"/>
        <w:lang w:val="zh-TW" w:eastAsia="zh-TW" w:bidi="zh-TW"/>
      </w:rPr>
    </w:lvl>
    <w:lvl w:ilvl="6" w:tplc="B5B0B57A">
      <w:numFmt w:val="bullet"/>
      <w:lvlText w:val="•"/>
      <w:lvlJc w:val="left"/>
      <w:pPr>
        <w:ind w:left="12008" w:hanging="316"/>
      </w:pPr>
      <w:rPr>
        <w:rFonts w:hint="default"/>
        <w:lang w:val="zh-TW" w:eastAsia="zh-TW" w:bidi="zh-TW"/>
      </w:rPr>
    </w:lvl>
    <w:lvl w:ilvl="7" w:tplc="A6C0B99E">
      <w:numFmt w:val="bullet"/>
      <w:lvlText w:val="•"/>
      <w:lvlJc w:val="left"/>
      <w:pPr>
        <w:ind w:left="13806" w:hanging="316"/>
      </w:pPr>
      <w:rPr>
        <w:rFonts w:hint="default"/>
        <w:lang w:val="zh-TW" w:eastAsia="zh-TW" w:bidi="zh-TW"/>
      </w:rPr>
    </w:lvl>
    <w:lvl w:ilvl="8" w:tplc="9BA47E3A">
      <w:numFmt w:val="bullet"/>
      <w:lvlText w:val="•"/>
      <w:lvlJc w:val="left"/>
      <w:pPr>
        <w:ind w:left="15604" w:hanging="316"/>
      </w:pPr>
      <w:rPr>
        <w:rFonts w:hint="default"/>
        <w:lang w:val="zh-TW" w:eastAsia="zh-TW" w:bidi="zh-TW"/>
      </w:rPr>
    </w:lvl>
  </w:abstractNum>
  <w:abstractNum w:abstractNumId="12" w15:restartNumberingAfterBreak="0">
    <w:nsid w:val="73357B22"/>
    <w:multiLevelType w:val="hybridMultilevel"/>
    <w:tmpl w:val="2C7E6312"/>
    <w:lvl w:ilvl="0" w:tplc="265AAF68">
      <w:start w:val="1"/>
      <w:numFmt w:val="decimal"/>
      <w:lvlText w:val="（%1）"/>
      <w:lvlJc w:val="left"/>
      <w:pPr>
        <w:ind w:left="41" w:hanging="542"/>
        <w:jc w:val="left"/>
      </w:pPr>
      <w:rPr>
        <w:rFonts w:ascii="宋体" w:eastAsia="宋体" w:hAnsi="宋体" w:cs="宋体" w:hint="default"/>
        <w:spacing w:val="-1"/>
        <w:w w:val="103"/>
        <w:sz w:val="19"/>
        <w:szCs w:val="19"/>
        <w:lang w:val="zh-TW" w:eastAsia="zh-TW" w:bidi="zh-TW"/>
      </w:rPr>
    </w:lvl>
    <w:lvl w:ilvl="1" w:tplc="BB60D43C">
      <w:numFmt w:val="bullet"/>
      <w:lvlText w:val="•"/>
      <w:lvlJc w:val="left"/>
      <w:pPr>
        <w:ind w:left="818" w:hanging="542"/>
      </w:pPr>
      <w:rPr>
        <w:rFonts w:hint="default"/>
        <w:lang w:val="zh-TW" w:eastAsia="zh-TW" w:bidi="zh-TW"/>
      </w:rPr>
    </w:lvl>
    <w:lvl w:ilvl="2" w:tplc="95021CE2">
      <w:numFmt w:val="bullet"/>
      <w:lvlText w:val="•"/>
      <w:lvlJc w:val="left"/>
      <w:pPr>
        <w:ind w:left="1596" w:hanging="542"/>
      </w:pPr>
      <w:rPr>
        <w:rFonts w:hint="default"/>
        <w:lang w:val="zh-TW" w:eastAsia="zh-TW" w:bidi="zh-TW"/>
      </w:rPr>
    </w:lvl>
    <w:lvl w:ilvl="3" w:tplc="6E6C83AA">
      <w:numFmt w:val="bullet"/>
      <w:lvlText w:val="•"/>
      <w:lvlJc w:val="left"/>
      <w:pPr>
        <w:ind w:left="2374" w:hanging="542"/>
      </w:pPr>
      <w:rPr>
        <w:rFonts w:hint="default"/>
        <w:lang w:val="zh-TW" w:eastAsia="zh-TW" w:bidi="zh-TW"/>
      </w:rPr>
    </w:lvl>
    <w:lvl w:ilvl="4" w:tplc="744C0AA6">
      <w:numFmt w:val="bullet"/>
      <w:lvlText w:val="•"/>
      <w:lvlJc w:val="left"/>
      <w:pPr>
        <w:ind w:left="3152" w:hanging="542"/>
      </w:pPr>
      <w:rPr>
        <w:rFonts w:hint="default"/>
        <w:lang w:val="zh-TW" w:eastAsia="zh-TW" w:bidi="zh-TW"/>
      </w:rPr>
    </w:lvl>
    <w:lvl w:ilvl="5" w:tplc="C17A12DC">
      <w:numFmt w:val="bullet"/>
      <w:lvlText w:val="•"/>
      <w:lvlJc w:val="left"/>
      <w:pPr>
        <w:ind w:left="3930" w:hanging="542"/>
      </w:pPr>
      <w:rPr>
        <w:rFonts w:hint="default"/>
        <w:lang w:val="zh-TW" w:eastAsia="zh-TW" w:bidi="zh-TW"/>
      </w:rPr>
    </w:lvl>
    <w:lvl w:ilvl="6" w:tplc="D84694B2">
      <w:numFmt w:val="bullet"/>
      <w:lvlText w:val="•"/>
      <w:lvlJc w:val="left"/>
      <w:pPr>
        <w:ind w:left="4708" w:hanging="542"/>
      </w:pPr>
      <w:rPr>
        <w:rFonts w:hint="default"/>
        <w:lang w:val="zh-TW" w:eastAsia="zh-TW" w:bidi="zh-TW"/>
      </w:rPr>
    </w:lvl>
    <w:lvl w:ilvl="7" w:tplc="1708FAD4">
      <w:numFmt w:val="bullet"/>
      <w:lvlText w:val="•"/>
      <w:lvlJc w:val="left"/>
      <w:pPr>
        <w:ind w:left="5486" w:hanging="542"/>
      </w:pPr>
      <w:rPr>
        <w:rFonts w:hint="default"/>
        <w:lang w:val="zh-TW" w:eastAsia="zh-TW" w:bidi="zh-TW"/>
      </w:rPr>
    </w:lvl>
    <w:lvl w:ilvl="8" w:tplc="4616398A">
      <w:numFmt w:val="bullet"/>
      <w:lvlText w:val="•"/>
      <w:lvlJc w:val="left"/>
      <w:pPr>
        <w:ind w:left="6264" w:hanging="542"/>
      </w:pPr>
      <w:rPr>
        <w:rFonts w:hint="default"/>
        <w:lang w:val="zh-TW" w:eastAsia="zh-TW" w:bidi="zh-TW"/>
      </w:rPr>
    </w:lvl>
  </w:abstractNum>
  <w:abstractNum w:abstractNumId="13" w15:restartNumberingAfterBreak="0">
    <w:nsid w:val="79C01376"/>
    <w:multiLevelType w:val="hybridMultilevel"/>
    <w:tmpl w:val="92CACC80"/>
    <w:lvl w:ilvl="0" w:tplc="016032DA">
      <w:numFmt w:val="bullet"/>
      <w:lvlText w:val="•"/>
      <w:lvlJc w:val="left"/>
      <w:pPr>
        <w:ind w:left="1319" w:hanging="452"/>
      </w:pPr>
      <w:rPr>
        <w:rFonts w:ascii="Arial" w:eastAsia="Arial" w:hAnsi="Arial" w:cs="Arial" w:hint="default"/>
        <w:w w:val="99"/>
        <w:sz w:val="32"/>
        <w:szCs w:val="32"/>
        <w:lang w:val="zh-TW" w:eastAsia="zh-TW" w:bidi="zh-TW"/>
      </w:rPr>
    </w:lvl>
    <w:lvl w:ilvl="1" w:tplc="647C5AAE">
      <w:numFmt w:val="bullet"/>
      <w:lvlText w:val="•"/>
      <w:lvlJc w:val="left"/>
      <w:pPr>
        <w:ind w:left="1436" w:hanging="452"/>
      </w:pPr>
      <w:rPr>
        <w:rFonts w:ascii="Arial" w:eastAsia="Arial" w:hAnsi="Arial" w:cs="Arial" w:hint="default"/>
        <w:w w:val="99"/>
        <w:sz w:val="32"/>
        <w:szCs w:val="32"/>
        <w:lang w:val="zh-TW" w:eastAsia="zh-TW" w:bidi="zh-TW"/>
      </w:rPr>
    </w:lvl>
    <w:lvl w:ilvl="2" w:tplc="29CE2D58">
      <w:numFmt w:val="bullet"/>
      <w:lvlText w:val="•"/>
      <w:lvlJc w:val="left"/>
      <w:pPr>
        <w:ind w:left="1235" w:hanging="452"/>
      </w:pPr>
      <w:rPr>
        <w:rFonts w:hint="default"/>
        <w:lang w:val="zh-TW" w:eastAsia="zh-TW" w:bidi="zh-TW"/>
      </w:rPr>
    </w:lvl>
    <w:lvl w:ilvl="3" w:tplc="150CF550">
      <w:numFmt w:val="bullet"/>
      <w:lvlText w:val="•"/>
      <w:lvlJc w:val="left"/>
      <w:pPr>
        <w:ind w:left="1031" w:hanging="452"/>
      </w:pPr>
      <w:rPr>
        <w:rFonts w:hint="default"/>
        <w:lang w:val="zh-TW" w:eastAsia="zh-TW" w:bidi="zh-TW"/>
      </w:rPr>
    </w:lvl>
    <w:lvl w:ilvl="4" w:tplc="A7A87D50">
      <w:numFmt w:val="bullet"/>
      <w:lvlText w:val="•"/>
      <w:lvlJc w:val="left"/>
      <w:pPr>
        <w:ind w:left="826" w:hanging="452"/>
      </w:pPr>
      <w:rPr>
        <w:rFonts w:hint="default"/>
        <w:lang w:val="zh-TW" w:eastAsia="zh-TW" w:bidi="zh-TW"/>
      </w:rPr>
    </w:lvl>
    <w:lvl w:ilvl="5" w:tplc="FED0F4B4">
      <w:numFmt w:val="bullet"/>
      <w:lvlText w:val="•"/>
      <w:lvlJc w:val="left"/>
      <w:pPr>
        <w:ind w:left="622" w:hanging="452"/>
      </w:pPr>
      <w:rPr>
        <w:rFonts w:hint="default"/>
        <w:lang w:val="zh-TW" w:eastAsia="zh-TW" w:bidi="zh-TW"/>
      </w:rPr>
    </w:lvl>
    <w:lvl w:ilvl="6" w:tplc="4F26D7A0">
      <w:numFmt w:val="bullet"/>
      <w:lvlText w:val="•"/>
      <w:lvlJc w:val="left"/>
      <w:pPr>
        <w:ind w:left="418" w:hanging="452"/>
      </w:pPr>
      <w:rPr>
        <w:rFonts w:hint="default"/>
        <w:lang w:val="zh-TW" w:eastAsia="zh-TW" w:bidi="zh-TW"/>
      </w:rPr>
    </w:lvl>
    <w:lvl w:ilvl="7" w:tplc="CD20DB02">
      <w:numFmt w:val="bullet"/>
      <w:lvlText w:val="•"/>
      <w:lvlJc w:val="left"/>
      <w:pPr>
        <w:ind w:left="213" w:hanging="452"/>
      </w:pPr>
      <w:rPr>
        <w:rFonts w:hint="default"/>
        <w:lang w:val="zh-TW" w:eastAsia="zh-TW" w:bidi="zh-TW"/>
      </w:rPr>
    </w:lvl>
    <w:lvl w:ilvl="8" w:tplc="5A947A5C">
      <w:numFmt w:val="bullet"/>
      <w:lvlText w:val="•"/>
      <w:lvlJc w:val="left"/>
      <w:pPr>
        <w:ind w:left="9" w:hanging="452"/>
      </w:pPr>
      <w:rPr>
        <w:rFonts w:hint="default"/>
        <w:lang w:val="zh-TW" w:eastAsia="zh-TW" w:bidi="zh-TW"/>
      </w:rPr>
    </w:lvl>
  </w:abstractNum>
  <w:abstractNum w:abstractNumId="14" w15:restartNumberingAfterBreak="0">
    <w:nsid w:val="7E1E1E48"/>
    <w:multiLevelType w:val="hybridMultilevel"/>
    <w:tmpl w:val="DC66E47A"/>
    <w:lvl w:ilvl="0" w:tplc="ABFEB172">
      <w:numFmt w:val="bullet"/>
      <w:lvlText w:val="•"/>
      <w:lvlJc w:val="left"/>
      <w:pPr>
        <w:ind w:left="944" w:hanging="452"/>
      </w:pPr>
      <w:rPr>
        <w:rFonts w:ascii="Arial" w:eastAsia="Arial" w:hAnsi="Arial" w:cs="Arial" w:hint="default"/>
        <w:w w:val="99"/>
        <w:sz w:val="32"/>
        <w:szCs w:val="32"/>
        <w:lang w:val="zh-TW" w:eastAsia="zh-TW" w:bidi="zh-TW"/>
      </w:rPr>
    </w:lvl>
    <w:lvl w:ilvl="1" w:tplc="DAEACDB4">
      <w:numFmt w:val="bullet"/>
      <w:lvlText w:val=""/>
      <w:lvlJc w:val="left"/>
      <w:pPr>
        <w:ind w:left="1462" w:hanging="357"/>
      </w:pPr>
      <w:rPr>
        <w:rFonts w:ascii="Wingdings" w:eastAsia="Wingdings" w:hAnsi="Wingdings" w:cs="Wingdings" w:hint="default"/>
        <w:w w:val="100"/>
        <w:sz w:val="34"/>
        <w:szCs w:val="34"/>
        <w:lang w:val="zh-TW" w:eastAsia="zh-TW" w:bidi="zh-TW"/>
      </w:rPr>
    </w:lvl>
    <w:lvl w:ilvl="2" w:tplc="FCEC8A34">
      <w:numFmt w:val="bullet"/>
      <w:lvlText w:val="•"/>
      <w:lvlJc w:val="left"/>
      <w:pPr>
        <w:ind w:left="2032" w:hanging="357"/>
      </w:pPr>
      <w:rPr>
        <w:rFonts w:hint="default"/>
        <w:lang w:val="zh-TW" w:eastAsia="zh-TW" w:bidi="zh-TW"/>
      </w:rPr>
    </w:lvl>
    <w:lvl w:ilvl="3" w:tplc="53FC6A40">
      <w:numFmt w:val="bullet"/>
      <w:lvlText w:val="•"/>
      <w:lvlJc w:val="left"/>
      <w:pPr>
        <w:ind w:left="2605" w:hanging="357"/>
      </w:pPr>
      <w:rPr>
        <w:rFonts w:hint="default"/>
        <w:lang w:val="zh-TW" w:eastAsia="zh-TW" w:bidi="zh-TW"/>
      </w:rPr>
    </w:lvl>
    <w:lvl w:ilvl="4" w:tplc="AE825A0A">
      <w:numFmt w:val="bullet"/>
      <w:lvlText w:val="•"/>
      <w:lvlJc w:val="left"/>
      <w:pPr>
        <w:ind w:left="3177" w:hanging="357"/>
      </w:pPr>
      <w:rPr>
        <w:rFonts w:hint="default"/>
        <w:lang w:val="zh-TW" w:eastAsia="zh-TW" w:bidi="zh-TW"/>
      </w:rPr>
    </w:lvl>
    <w:lvl w:ilvl="5" w:tplc="C0AC187C">
      <w:numFmt w:val="bullet"/>
      <w:lvlText w:val="•"/>
      <w:lvlJc w:val="left"/>
      <w:pPr>
        <w:ind w:left="3750" w:hanging="357"/>
      </w:pPr>
      <w:rPr>
        <w:rFonts w:hint="default"/>
        <w:lang w:val="zh-TW" w:eastAsia="zh-TW" w:bidi="zh-TW"/>
      </w:rPr>
    </w:lvl>
    <w:lvl w:ilvl="6" w:tplc="9B4C4D56">
      <w:numFmt w:val="bullet"/>
      <w:lvlText w:val="•"/>
      <w:lvlJc w:val="left"/>
      <w:pPr>
        <w:ind w:left="4322" w:hanging="357"/>
      </w:pPr>
      <w:rPr>
        <w:rFonts w:hint="default"/>
        <w:lang w:val="zh-TW" w:eastAsia="zh-TW" w:bidi="zh-TW"/>
      </w:rPr>
    </w:lvl>
    <w:lvl w:ilvl="7" w:tplc="3C5C02FC">
      <w:numFmt w:val="bullet"/>
      <w:lvlText w:val="•"/>
      <w:lvlJc w:val="left"/>
      <w:pPr>
        <w:ind w:left="4895" w:hanging="357"/>
      </w:pPr>
      <w:rPr>
        <w:rFonts w:hint="default"/>
        <w:lang w:val="zh-TW" w:eastAsia="zh-TW" w:bidi="zh-TW"/>
      </w:rPr>
    </w:lvl>
    <w:lvl w:ilvl="8" w:tplc="FD789FE6">
      <w:numFmt w:val="bullet"/>
      <w:lvlText w:val="•"/>
      <w:lvlJc w:val="left"/>
      <w:pPr>
        <w:ind w:left="5467" w:hanging="357"/>
      </w:pPr>
      <w:rPr>
        <w:rFonts w:hint="default"/>
        <w:lang w:val="zh-TW" w:eastAsia="zh-TW" w:bidi="zh-TW"/>
      </w:rPr>
    </w:lvl>
  </w:abstractNum>
  <w:num w:numId="1" w16cid:durableId="683820192">
    <w:abstractNumId w:val="3"/>
  </w:num>
  <w:num w:numId="2" w16cid:durableId="1107693519">
    <w:abstractNumId w:val="13"/>
  </w:num>
  <w:num w:numId="3" w16cid:durableId="1186752869">
    <w:abstractNumId w:val="1"/>
  </w:num>
  <w:num w:numId="4" w16cid:durableId="485980214">
    <w:abstractNumId w:val="6"/>
  </w:num>
  <w:num w:numId="5" w16cid:durableId="670983576">
    <w:abstractNumId w:val="12"/>
  </w:num>
  <w:num w:numId="6" w16cid:durableId="1927228742">
    <w:abstractNumId w:val="0"/>
  </w:num>
  <w:num w:numId="7" w16cid:durableId="1401059820">
    <w:abstractNumId w:val="11"/>
  </w:num>
  <w:num w:numId="8" w16cid:durableId="191186565">
    <w:abstractNumId w:val="2"/>
  </w:num>
  <w:num w:numId="9" w16cid:durableId="28723022">
    <w:abstractNumId w:val="9"/>
  </w:num>
  <w:num w:numId="10" w16cid:durableId="139730968">
    <w:abstractNumId w:val="10"/>
  </w:num>
  <w:num w:numId="11" w16cid:durableId="1298024780">
    <w:abstractNumId w:val="7"/>
  </w:num>
  <w:num w:numId="12" w16cid:durableId="1647320819">
    <w:abstractNumId w:val="8"/>
  </w:num>
  <w:num w:numId="13" w16cid:durableId="367029416">
    <w:abstractNumId w:val="5"/>
  </w:num>
  <w:num w:numId="14" w16cid:durableId="1922836378">
    <w:abstractNumId w:val="14"/>
  </w:num>
  <w:num w:numId="15" w16cid:durableId="1063215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268"/>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634C9"/>
    <w:rsid w:val="00166C87"/>
    <w:rsid w:val="001946C3"/>
    <w:rsid w:val="00252974"/>
    <w:rsid w:val="0045201F"/>
    <w:rsid w:val="004634BE"/>
    <w:rsid w:val="004634C9"/>
    <w:rsid w:val="00525275"/>
    <w:rsid w:val="006845C7"/>
    <w:rsid w:val="00C15B2C"/>
    <w:rsid w:val="00CF7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68"/>
    <o:shapelayout v:ext="edit">
      <o:idmap v:ext="edit" data="2"/>
    </o:shapelayout>
  </w:shapeDefaults>
  <w:decimalSymbol w:val="."/>
  <w:listSeparator w:val=","/>
  <w14:docId w14:val="0B720152"/>
  <w15:docId w15:val="{2E392D5D-484F-4960-8919-1688573E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微软雅黑" w:eastAsia="微软雅黑" w:hAnsi="微软雅黑" w:cs="微软雅黑"/>
      <w:lang w:val="zh-TW" w:eastAsia="zh-TW" w:bidi="zh-TW"/>
    </w:rPr>
  </w:style>
  <w:style w:type="paragraph" w:styleId="1">
    <w:name w:val="heading 1"/>
    <w:basedOn w:val="a"/>
    <w:uiPriority w:val="9"/>
    <w:qFormat/>
    <w:pPr>
      <w:spacing w:line="1493" w:lineRule="exact"/>
      <w:outlineLvl w:val="0"/>
    </w:pPr>
    <w:rPr>
      <w:b/>
      <w:bCs/>
      <w:i/>
      <w:sz w:val="88"/>
      <w:szCs w:val="88"/>
    </w:rPr>
  </w:style>
  <w:style w:type="paragraph" w:styleId="2">
    <w:name w:val="heading 2"/>
    <w:basedOn w:val="a"/>
    <w:uiPriority w:val="9"/>
    <w:unhideWhenUsed/>
    <w:qFormat/>
    <w:pPr>
      <w:spacing w:before="1"/>
      <w:ind w:left="1491"/>
      <w:outlineLvl w:val="1"/>
    </w:pPr>
    <w:rPr>
      <w:b/>
      <w:bCs/>
      <w:i/>
      <w:sz w:val="36"/>
      <w:szCs w:val="36"/>
    </w:rPr>
  </w:style>
  <w:style w:type="paragraph" w:styleId="3">
    <w:name w:val="heading 3"/>
    <w:basedOn w:val="a"/>
    <w:uiPriority w:val="9"/>
    <w:unhideWhenUsed/>
    <w:qFormat/>
    <w:pPr>
      <w:ind w:left="1373"/>
      <w:outlineLvl w:val="2"/>
    </w:pPr>
    <w:rPr>
      <w:sz w:val="36"/>
      <w:szCs w:val="36"/>
    </w:rPr>
  </w:style>
  <w:style w:type="paragraph" w:styleId="4">
    <w:name w:val="heading 4"/>
    <w:basedOn w:val="a"/>
    <w:uiPriority w:val="9"/>
    <w:unhideWhenUsed/>
    <w:qFormat/>
    <w:pPr>
      <w:ind w:left="5509"/>
      <w:outlineLvl w:val="3"/>
    </w:pPr>
    <w:rPr>
      <w:b/>
      <w:bCs/>
      <w:i/>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List Paragraph"/>
    <w:basedOn w:val="a"/>
    <w:uiPriority w:val="1"/>
    <w:qFormat/>
    <w:pPr>
      <w:spacing w:line="564" w:lineRule="exact"/>
      <w:ind w:left="1255" w:hanging="452"/>
    </w:pPr>
  </w:style>
  <w:style w:type="paragraph" w:customStyle="1" w:styleId="TableParagraph">
    <w:name w:val="Table Paragraph"/>
    <w:basedOn w:val="a"/>
    <w:uiPriority w:val="1"/>
    <w:qFormat/>
    <w:rPr>
      <w:rFonts w:ascii="宋体" w:eastAsia="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header" Target="header10.xml"/><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header" Target="header1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emf"/><Relationship Id="rId11" Type="http://schemas.openxmlformats.org/officeDocument/2006/relationships/image" Target="media/image5.jpeg"/><Relationship Id="rId24" Type="http://schemas.openxmlformats.org/officeDocument/2006/relationships/header" Target="header5.xml"/><Relationship Id="rId32" Type="http://schemas.openxmlformats.org/officeDocument/2006/relationships/image" Target="media/image21.png"/><Relationship Id="rId37" Type="http://schemas.openxmlformats.org/officeDocument/2006/relationships/header" Target="header9.xml"/><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6.jpe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header" Target="header15.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eader" Target="header12.xm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header" Target="header11.xml"/><Relationship Id="rId52" Type="http://schemas.openxmlformats.org/officeDocument/2006/relationships/image" Target="media/image36.png"/><Relationship Id="rId60" Type="http://schemas.openxmlformats.org/officeDocument/2006/relationships/header" Target="header14.xml"/><Relationship Id="rId65"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6.emf"/><Relationship Id="rId34" Type="http://schemas.openxmlformats.org/officeDocument/2006/relationships/header" Target="header8.xml"/><Relationship Id="rId50" Type="http://schemas.openxmlformats.org/officeDocument/2006/relationships/image" Target="media/image34.png"/><Relationship Id="rId55"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42</Pages>
  <Words>1986</Words>
  <Characters>11323</Characters>
  <Application>Microsoft Office Word</Application>
  <DocSecurity>0</DocSecurity>
  <Lines>94</Lines>
  <Paragraphs>26</Paragraphs>
  <ScaleCrop>false</ScaleCrop>
  <Company/>
  <LinksUpToDate>false</LinksUpToDate>
  <CharactersWithSpaces>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幻灯片 1</dc:title>
  <dc:creator>梁卓锋</dc:creator>
  <cp:lastModifiedBy>huijing gong</cp:lastModifiedBy>
  <cp:revision>7</cp:revision>
  <dcterms:created xsi:type="dcterms:W3CDTF">2024-06-13T03:08:00Z</dcterms:created>
  <dcterms:modified xsi:type="dcterms:W3CDTF">2024-06-13T06:17:00Z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2024-06-13T00:00:00Z</vt:filetime>
  </property>
  <property fmtid="{D5CDD505-2E9C-101B-9397-08002B2CF9AE}" pid="3" name="Creator">
    <vt:lpwstr>Microsoft® PowerPoint® 2019</vt:lpwstr>
  </property>
  <property fmtid="{D5CDD505-2E9C-101B-9397-08002B2CF9AE}" pid="4" name="LastSaved">
    <vt:filetime>2024-06-13T00:00:00Z</vt:filetime>
  </property>
</Properties>
</file>