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浅谈香港反洗钱工作与国内基层营业部反洗钱工作的比较</w:t>
      </w:r>
      <w:r>
        <w:rPr>
          <w:rFonts w:asciiTheme="majorEastAsia" w:hAnsiTheme="majorEastAsia" w:eastAsiaTheme="majorEastAsia"/>
          <w:b/>
          <w:sz w:val="44"/>
          <w:szCs w:val="44"/>
        </w:rPr>
        <w:br w:type="textWrapping"/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张霭霖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中国中金财富证券有限公司</w:t>
      </w:r>
    </w:p>
    <w:p>
      <w:pPr>
        <w:spacing w:line="360" w:lineRule="auto"/>
        <w:jc w:val="center"/>
        <w:rPr>
          <w:rFonts w:hint="default" w:asciiTheme="majorEastAsia" w:hAnsiTheme="majorEastAsia" w:eastAsia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珠海情侣南路证券营业部</w:t>
      </w:r>
    </w:p>
    <w:p>
      <w:pPr>
        <w:spacing w:line="360" w:lineRule="auto"/>
        <w:rPr>
          <w:rFonts w:asciiTheme="minorEastAsia" w:hAnsiTheme="minorEastAsia" w:eastAsiaTheme="minorEastAsia"/>
          <w:color w:val="0000FF"/>
          <w:sz w:val="28"/>
          <w:szCs w:val="28"/>
        </w:rPr>
      </w:pPr>
    </w:p>
    <w:p>
      <w:pPr>
        <w:spacing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【摘 要】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香港金融机构办理关键业务时，需客户提供多元化的材料，而我国金融机构仅需要成年人提供身份证明即可，便捷性与实用性之间的平衡问题值得我们深思。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br w:type="textWrapping"/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【关键词】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香港；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反洗钱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工作；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客户身份识别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asciiTheme="minorEastAsia" w:hAnsiTheme="minorEastAsia" w:eastAsia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香港目前执行的反洗钱相关政策制度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（一）香港反洗钱法律体系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香港反洗钱制度有三类，立法、根据法例发出的指引和香港监督机构发布的其他指导性材料。法例主要有《打击洗钱及恐怖分子资金筹集条例》《贩毒（追讨得益）条例》《有组织及严重罪行条例》《联合国制裁条例》和《大规模毁灭性武器（管制服务的提供）条例》；根据立法发布的指南主要有香港金管局发布的《反洗钱和反恐怖融资指引（授权机构）》、香港证监会发布的《打击洗钱及恐怖分子资金筹集指引（持牌法团适用）》《防止洗钱和恐怖主义融资指南（适用于相关实体）》、海关关长发布的《反洗钱和反恐融资指南（针对MSO货币服务运营商）》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香港反洗钱组织架构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香港财政司财经事务及库务局是香港反洗钱主管部门，为“打击清洗黑钱及反恐融资中央统筹委员会”提供秘书服务，负责制定反洗钱和恐怖融资的整体政策，构建制度框架，统筹特区政府各部门、单位的反洗钱及反恐融资的政策及措施以符合国际标准。参与部门包括律政司、警务处、海关、廉政公署和金融监管部门。</w:t>
      </w:r>
      <w:r>
        <w:rPr>
          <w:rStyle w:val="8"/>
          <w:rFonts w:hint="eastAsia" w:asciiTheme="minorEastAsia" w:hAnsiTheme="minorEastAsia" w:eastAsiaTheme="minorEastAsia" w:cstheme="minorEastAsia"/>
          <w:color w:val="auto"/>
          <w:sz w:val="28"/>
          <w:szCs w:val="28"/>
          <w:vertAlign w:val="superscript"/>
          <w:lang w:val="en-US" w:eastAsia="zh-CN"/>
        </w:rPr>
        <w:t>[</w:t>
      </w:r>
      <w:r>
        <w:rPr>
          <w:rStyle w:val="8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footnoteReference w:id="0"/>
      </w:r>
      <w:r>
        <w:rPr>
          <w:rStyle w:val="8"/>
          <w:rFonts w:hint="eastAsia" w:asciiTheme="minorEastAsia" w:hAnsiTheme="minorEastAsia" w:eastAsiaTheme="minorEastAsia" w:cstheme="minorEastAsia"/>
          <w:color w:val="auto"/>
          <w:sz w:val="28"/>
          <w:szCs w:val="28"/>
          <w:vertAlign w:val="superscript"/>
          <w:lang w:val="en-US" w:eastAsia="zh-CN"/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香港警务处和香港海关联合组成“联合财富情报组”，履行反洗钱情报中心的职责，人员由警务处与海关人员混编组成，同时，香港海关成立财富调查科，全方位制定打击洗黑钱策略。香港虽然没有大额交易报告制度，只要求发现可疑交易向联合财富情报组报告，以主观判断为主，机构和个人均可报告。但根据法律，如果任何人知道或怀疑，如不举报，最高刑罚为罚款5万元及监禁3个月，本法条有效加强了机构和个人举报的主观能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二、我国目前执行的反洗钱相关政策制度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（一）我国反洗钱法律体系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我国反洗钱法律法规主要有《中华人民共和国中国人民银行法》《中华⼈民共和国反洗钱法》《中华人民共和国刑法》《中华人民共和国反恐怖主义法》《金融机构反洗钱规定》《金融机构报告涉嫌恐怖融资的可疑交易管理办法》《金融机构客户身份识别和客户身份资料及交易记录保存管理办法》《金融机构大额交易和可疑交易报告管理办法》《反洗钱金融行动特别工作组&lt;40条建议&gt;》（2003）《反洗钱金融行动特别工作组&lt;反恐怖融资特别建议&gt;》《金融机构反洗钱和反恐怖融资监督管理办法》等；主要规范性文件有中国人民银行《关于进一步加强金融机构反洗钱工作的通知》（银发〔2008〕391号）、《金融机构洗钱和恐怖融资风险评估及客户分类管理指引》（银发〔2013〕2号）、《关于加强反洗钱客户身份识别有关工作的通知》（银发〔2017〕235号）、《关于进一步做好受益所有人身份识别工作有关问题的通知》（银发〔2018〕第164号）、中国人民银行办公厅《关于进一步加强反洗钱和反恐怖融资工作的通知》（银办发〔2018〕第130号）；中国人民银行、中国银行保险监督管理委员会、中国证券监督管理委员会日前联合印发《金融机构客户尽职调查和客户身份资料及交易记录保存管理办法》（中国人民银行 中国银行保险监督管理委员会 中国证券监督管理委员会令〔2022〕第1号）等。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（二）我国反洗钱组织架构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根据2006年《中国人民银行法》第四条，中国人民银行指导、部署金融业反洗钱工作，负责反洗钱资金监测。中国反洗钱监测分析中心（以下简称“反洗钱中心”）是中国政府根据联合国有关公约的原则和FATF建议以及中国国情建立的行政型国家金融情报机构（FIU），隶属于中央银行（中国人民银行），负责接收、分析和移送金融情报。反洗钱中心由此成为中国反洗钱框架中的一个重要法律实体。自成立以来，反洗钱中心在反洗钱方面发挥了重要作用，为执法机关打击洗钱及相关犯罪提供了有力金融情报支持。</w:t>
      </w:r>
      <w:r>
        <w:rPr>
          <w:rStyle w:val="8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[</w:t>
      </w:r>
      <w:r>
        <w:rPr>
          <w:rStyle w:val="8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footnoteReference w:id="1"/>
      </w:r>
      <w:r>
        <w:rPr>
          <w:rStyle w:val="8"/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]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三、金融机构客户身份识别管理两地对比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在香港开设银行和证券账户或者变更相关信息时，金融机构会要求客户提供多元化的资料，包括但不限于住址证明、收入证明、交易记录、合同或协议、企业证明文件，其中住址证明包括水费单、电费单、银行对账单、租赁合同等可证明居住地址的，收入证明包括工资单、税单、公司财务报表等文件；即使是办理最普通的香港工资卡，也是需要提供住址证明。如果异地居民前往办理银行卡，除以上需求，还需提供近3个月盖有公章的工作证明原件、近3个月盖有银行公章的工资流水原件、过关小票和有效的签证或居留证明。如果客户经理人工核对时觉得有可疑情况，是会直接拒绝办理业务；如果该客户被某银行内部封存账户，是不得再次于该银行办理开户业务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。而我国开设银行和证券账户时，只需年满十六周岁，带上本人身份证既可开设银行和证券账户；变更相关核心信息时，也只需带上身份证核实个人信息，即可办理。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看上去香港金融业似乎很落伍，办理各项业务均需人工核实，还要提供各类证明，而我国金融业非常便捷发达，银行网点都逐渐远离大家的视线，几乎可以全部自助化，但正是因为香港作为国际金融中心，高度重视反洗钱工作，才有了这一系列“落伍”。为了确保金融业不成为洗钱活动的渠道，并维护金融系统的稳定和安全，所以办理业务时客户经理需要人工核实住址证明和收入证明，并存档来作为反洗钱的第一道防线。不要小看薄薄的两张证明，却能有效制止洗钱活动，能第一时间做好尽职调查，了解客户的身份背景、工作情况、居住环境等，从而形成对客户的正常和预期交易的认识；而不仅仅只依赖身份证上可能过时的信息，以及客户经理对客户的了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我们需要深思，便捷性与实用性之间的平衡问题，不能将尽职调查工作停留在表面的基础性工作。但舍弃便捷性会导致客户的流失，想要实用性，加强尽职调查工作的开展，有赖于反洗钱中心的规范性文件，只有整个环境都倾向于实用性，才能逐步要求客户提供收入证明与住址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【参考文献】 </w:t>
      </w:r>
      <w:r>
        <w:rPr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[1]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童文俊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·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香港反洗钱监管的经验与启示[J]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·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金融教学与研究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·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2009年第三期:22-32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反洗钱中心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·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反洗钱中心简介[EB/OL]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·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http://www.pbc.gov.cn/fxqzhongxin/3558093/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3558095/index.html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·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2015-07-28/2023-12-19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Style w:val="8"/>
        </w:rPr>
        <w:footnoteRef/>
      </w:r>
      <w: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[1]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童文俊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·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香港反洗钱监管的经验与启示[J]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·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金融教学与研究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·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2009年第三期:22-32</w:t>
      </w:r>
    </w:p>
  </w:footnote>
  <w:footnote w:id="1">
    <w:p>
      <w:pPr>
        <w:pStyle w:val="4"/>
        <w:snapToGrid w:val="0"/>
        <w:rPr>
          <w:rFonts w:hint="eastAsia"/>
        </w:rPr>
      </w:pPr>
      <w:r>
        <w:rPr>
          <w:rStyle w:val="8"/>
        </w:rPr>
        <w:t>[</w:t>
      </w:r>
      <w:r>
        <w:rPr>
          <w:rStyle w:val="8"/>
        </w:rPr>
        <w:footnoteRef/>
      </w:r>
      <w:r>
        <w:rPr>
          <w:rStyle w:val="8"/>
        </w:rPr>
        <w:t>]</w:t>
      </w:r>
      <w:r>
        <w:rPr>
          <w:rFonts w:hint="eastAsia"/>
        </w:rPr>
        <w:t>反洗钱中心·反洗钱中心简介[EB/OL]·http://www.pbc.gov.cn/fxqzhongxin/3558093/3558095/index.html·</w:t>
      </w:r>
    </w:p>
    <w:p>
      <w:pPr>
        <w:pStyle w:val="4"/>
        <w:snapToGrid w:val="0"/>
      </w:pPr>
      <w:r>
        <w:rPr>
          <w:rFonts w:hint="eastAsia"/>
        </w:rPr>
        <w:t>2015-07-28/2023-12-19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C5A35E"/>
    <w:multiLevelType w:val="singleLevel"/>
    <w:tmpl w:val="F4C5A35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4FB3393"/>
    <w:multiLevelType w:val="singleLevel"/>
    <w:tmpl w:val="F4FB3393"/>
    <w:lvl w:ilvl="0" w:tentative="0">
      <w:start w:val="2"/>
      <w:numFmt w:val="decimal"/>
      <w:suff w:val="space"/>
      <w:lvlText w:val="[%1]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ZGFlZmNlOTI2OTM2N2Q2ODNkMTk0MmY5OTE4ZjYifQ=="/>
  </w:docVars>
  <w:rsids>
    <w:rsidRoot w:val="412E1E7A"/>
    <w:rsid w:val="000B6D27"/>
    <w:rsid w:val="001D0743"/>
    <w:rsid w:val="0021361C"/>
    <w:rsid w:val="00217F42"/>
    <w:rsid w:val="0025739E"/>
    <w:rsid w:val="002F39B4"/>
    <w:rsid w:val="002F3BFF"/>
    <w:rsid w:val="002F6963"/>
    <w:rsid w:val="00370104"/>
    <w:rsid w:val="004E6F2F"/>
    <w:rsid w:val="00544AC7"/>
    <w:rsid w:val="005C1122"/>
    <w:rsid w:val="0066335B"/>
    <w:rsid w:val="006B1AB1"/>
    <w:rsid w:val="006E69AA"/>
    <w:rsid w:val="007432C4"/>
    <w:rsid w:val="00753B7B"/>
    <w:rsid w:val="007921FD"/>
    <w:rsid w:val="007A19D7"/>
    <w:rsid w:val="007E2DDB"/>
    <w:rsid w:val="00846B58"/>
    <w:rsid w:val="008D5EE1"/>
    <w:rsid w:val="009A27D4"/>
    <w:rsid w:val="00A36380"/>
    <w:rsid w:val="00BE0704"/>
    <w:rsid w:val="00DA5FFB"/>
    <w:rsid w:val="00FC3368"/>
    <w:rsid w:val="016D16ED"/>
    <w:rsid w:val="01F32CD2"/>
    <w:rsid w:val="022A6766"/>
    <w:rsid w:val="03C279EC"/>
    <w:rsid w:val="056C0387"/>
    <w:rsid w:val="078608E3"/>
    <w:rsid w:val="08183C2E"/>
    <w:rsid w:val="09AF53D3"/>
    <w:rsid w:val="0BDC31C7"/>
    <w:rsid w:val="0EA33581"/>
    <w:rsid w:val="12274A70"/>
    <w:rsid w:val="12534B66"/>
    <w:rsid w:val="12B075B8"/>
    <w:rsid w:val="1354364B"/>
    <w:rsid w:val="13FF700D"/>
    <w:rsid w:val="14FD52C7"/>
    <w:rsid w:val="1516290A"/>
    <w:rsid w:val="15526EE7"/>
    <w:rsid w:val="17B74A43"/>
    <w:rsid w:val="19B04936"/>
    <w:rsid w:val="19F31E08"/>
    <w:rsid w:val="1A870D14"/>
    <w:rsid w:val="1A984F66"/>
    <w:rsid w:val="1B775F20"/>
    <w:rsid w:val="1BA07D6D"/>
    <w:rsid w:val="2008277A"/>
    <w:rsid w:val="20083FA6"/>
    <w:rsid w:val="202A5390"/>
    <w:rsid w:val="21653D04"/>
    <w:rsid w:val="21787FAA"/>
    <w:rsid w:val="220B7F0B"/>
    <w:rsid w:val="246D36DF"/>
    <w:rsid w:val="246E0274"/>
    <w:rsid w:val="274477C0"/>
    <w:rsid w:val="2B6D4D59"/>
    <w:rsid w:val="2BCF3D57"/>
    <w:rsid w:val="2BDA5C18"/>
    <w:rsid w:val="310E0E7D"/>
    <w:rsid w:val="32221084"/>
    <w:rsid w:val="353F698D"/>
    <w:rsid w:val="355A05F6"/>
    <w:rsid w:val="35AC377D"/>
    <w:rsid w:val="36E34E24"/>
    <w:rsid w:val="376F415F"/>
    <w:rsid w:val="3799168F"/>
    <w:rsid w:val="3A0C6A75"/>
    <w:rsid w:val="3ABB7769"/>
    <w:rsid w:val="3B0679E2"/>
    <w:rsid w:val="3CC93EA9"/>
    <w:rsid w:val="3D6A2AF3"/>
    <w:rsid w:val="3DB320B9"/>
    <w:rsid w:val="3E9A6446"/>
    <w:rsid w:val="3EE33949"/>
    <w:rsid w:val="3F010273"/>
    <w:rsid w:val="412E1E7A"/>
    <w:rsid w:val="41CA2828"/>
    <w:rsid w:val="42023863"/>
    <w:rsid w:val="435A0EBC"/>
    <w:rsid w:val="44495670"/>
    <w:rsid w:val="46D12A27"/>
    <w:rsid w:val="4741453F"/>
    <w:rsid w:val="47C44268"/>
    <w:rsid w:val="4B0606C4"/>
    <w:rsid w:val="4BE74F1A"/>
    <w:rsid w:val="4E767275"/>
    <w:rsid w:val="4ECD3D05"/>
    <w:rsid w:val="5009366D"/>
    <w:rsid w:val="50181E1E"/>
    <w:rsid w:val="512A18AC"/>
    <w:rsid w:val="51722902"/>
    <w:rsid w:val="528E7050"/>
    <w:rsid w:val="53982AFD"/>
    <w:rsid w:val="53F702D2"/>
    <w:rsid w:val="549120EC"/>
    <w:rsid w:val="56C076F9"/>
    <w:rsid w:val="57C14FFC"/>
    <w:rsid w:val="58D40338"/>
    <w:rsid w:val="58E10F36"/>
    <w:rsid w:val="5B676B9C"/>
    <w:rsid w:val="5B7153EC"/>
    <w:rsid w:val="5D290C69"/>
    <w:rsid w:val="5D38011D"/>
    <w:rsid w:val="60015362"/>
    <w:rsid w:val="62145A44"/>
    <w:rsid w:val="632368AE"/>
    <w:rsid w:val="63414CE9"/>
    <w:rsid w:val="651B7A52"/>
    <w:rsid w:val="667440E4"/>
    <w:rsid w:val="674E19F8"/>
    <w:rsid w:val="67E81566"/>
    <w:rsid w:val="694B1A4D"/>
    <w:rsid w:val="69622611"/>
    <w:rsid w:val="6C5A4E82"/>
    <w:rsid w:val="6D853FAB"/>
    <w:rsid w:val="6FF927B8"/>
    <w:rsid w:val="704153EF"/>
    <w:rsid w:val="705F7811"/>
    <w:rsid w:val="706D6B0B"/>
    <w:rsid w:val="70C76EA6"/>
    <w:rsid w:val="713604EE"/>
    <w:rsid w:val="73AA445A"/>
    <w:rsid w:val="762052D4"/>
    <w:rsid w:val="7AEE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footnote reference"/>
    <w:basedOn w:val="6"/>
    <w:uiPriority w:val="0"/>
    <w:rPr>
      <w:vertAlign w:val="superscript"/>
    </w:rPr>
  </w:style>
  <w:style w:type="character" w:customStyle="1" w:styleId="9">
    <w:name w:val="页眉 字符"/>
    <w:basedOn w:val="6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790;&#20159;&#23453;&#36125;\AppData\Roaming\kingsoft\office6\templates\download\21d7728df4032385971fecf11636baa6\&#26399;&#36135;&#20844;&#21496;&#23653;&#34892;&#21453;&#27927;&#38065;&#20041;&#21153;&#38754;&#20020;&#30340;&#38382;&#39064;&#21644;&#23545;&#31574;&#25506;&#3575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期货公司履行反洗钱义务面临的问题和对策探讨.docx</Template>
  <Manager>在行图文</Manager>
  <Pages>6</Pages>
  <Words>2671</Words>
  <Characters>2756</Characters>
  <Lines>20</Lines>
  <Paragraphs>5</Paragraphs>
  <TotalTime>23</TotalTime>
  <ScaleCrop>false</ScaleCrop>
  <LinksUpToDate>false</LinksUpToDate>
  <CharactersWithSpaces>2842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在行图文</cp:category>
  <dcterms:created xsi:type="dcterms:W3CDTF">2020-03-17T03:03:00Z</dcterms:created>
  <dc:creator>紫夜巫雨</dc:creator>
  <dc:description>在行图文</dc:description>
  <cp:keywords>在行图文</cp:keywords>
  <cp:lastModifiedBy>霭霖</cp:lastModifiedBy>
  <dcterms:modified xsi:type="dcterms:W3CDTF">2023-12-19T16:28:32Z</dcterms:modified>
  <dc:subject>在行图文</dc:subject>
  <dc:title>在行图文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C2A915722D1542FFA0A5FF64EBAA4F90</vt:lpwstr>
  </property>
</Properties>
</file>