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：</w:t>
      </w:r>
    </w:p>
    <w:p>
      <w:pPr>
        <w:jc w:val="center"/>
        <w:rPr>
          <w:rFonts w:ascii="方正小标宋简体" w:hAnsi="华文中宋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</w:rPr>
        <w:t>证券行业专业人员水平评价测试题型样例</w:t>
      </w:r>
    </w:p>
    <w:p>
      <w:pPr>
        <w:rPr>
          <w:rFonts w:ascii="仿宋_GB2312" w:eastAsia="仿宋_GB2312"/>
          <w:b/>
          <w:color w:val="000000"/>
          <w:sz w:val="28"/>
          <w:szCs w:val="28"/>
          <w:shd w:val="clear" w:color="auto" w:fill="FFFFFF"/>
        </w:rPr>
      </w:pPr>
    </w:p>
    <w:p>
      <w:pPr>
        <w:rPr>
          <w:rFonts w:ascii="仿宋_GB2312" w:eastAsia="仿宋_GB2312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shd w:val="clear" w:color="auto" w:fill="FFFFFF"/>
        </w:rPr>
        <w:t>（题型样例仅供参考，各科目测试内容以该科目测试大纲规定的范围为准）</w:t>
      </w:r>
      <w:bookmarkStart w:id="0" w:name="_GoBack"/>
      <w:bookmarkEnd w:id="0"/>
    </w:p>
    <w:p>
      <w:pPr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shd w:val="clear" w:color="auto" w:fill="FFFFFF"/>
        </w:rPr>
        <w:t>1.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单选题样例</w:t>
      </w:r>
    </w:p>
    <w:p>
      <w:pPr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根据《证券公司和证券投资基金管理公司合规管理办法》有关规定，下列关于证券公司应当树立的合规管理理念的说法，错误的是(   )。</w:t>
      </w:r>
    </w:p>
    <w:p>
      <w:pPr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  A.合规创造价值</w:t>
      </w:r>
    </w:p>
    <w:p>
      <w:pPr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B.合规是公司生存基础</w:t>
      </w:r>
    </w:p>
    <w:p>
      <w:pPr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C.全员合规</w:t>
      </w:r>
    </w:p>
    <w:p>
      <w:pPr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D.合规从基层做起</w:t>
      </w:r>
    </w:p>
    <w:p>
      <w:pPr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  答案：D</w:t>
      </w:r>
    </w:p>
    <w:p>
      <w:pPr>
        <w:rPr>
          <w:rFonts w:ascii="仿宋_GB2312" w:hAnsi="宋体" w:eastAsia="仿宋_GB2312"/>
          <w:bCs/>
          <w:color w:val="000000"/>
          <w:sz w:val="28"/>
          <w:szCs w:val="28"/>
        </w:rPr>
      </w:pPr>
    </w:p>
    <w:p>
      <w:pPr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2.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多选题样例</w:t>
      </w:r>
    </w:p>
    <w:p>
      <w:pPr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下列事项中，属于《证券法》适用范围的有(   )。 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 A.境内股票、公司债券、存托凭证和国务院依法认定的其他证券的发行、交易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 B.政府债券、证券投资基金份额的上市交易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 C.资产支持证券、资产管理产品的发行、交易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 D.期货、期货衍生品的交易</w:t>
      </w:r>
    </w:p>
    <w:p>
      <w:pPr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 xml:space="preserve">   答案：ABC</w:t>
      </w:r>
    </w:p>
    <w:p>
      <w:pPr>
        <w:rPr>
          <w:rFonts w:ascii="仿宋_GB2312" w:hAnsi="宋体" w:eastAsia="仿宋_GB2312"/>
          <w:bCs/>
          <w:color w:val="000000"/>
          <w:sz w:val="28"/>
          <w:szCs w:val="28"/>
        </w:rPr>
      </w:pPr>
    </w:p>
    <w:p>
      <w:pPr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3.判断题样例</w:t>
      </w:r>
    </w:p>
    <w:p>
      <w:pPr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某证券公司设立的集合资产管理计划有两名投资者。如其中一名投资者在开放期内T日全额赎回其持有的份额，且当日无其他投资者申购，则不论资产管理合同如何约定，该集合资产管理计划均会因投资者少于2人而终止。(   )</w:t>
      </w:r>
    </w:p>
    <w:p>
      <w:pPr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答案：错误</w:t>
      </w:r>
    </w:p>
    <w:p>
      <w:pPr>
        <w:rPr>
          <w:rFonts w:ascii="仿宋_GB2312" w:eastAsia="仿宋_GB2312"/>
          <w:b/>
          <w:color w:val="000000"/>
          <w:sz w:val="28"/>
          <w:szCs w:val="28"/>
          <w:shd w:val="clear" w:color="auto" w:fill="FFFFFF"/>
        </w:rPr>
      </w:pPr>
    </w:p>
    <w:p>
      <w:pPr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shd w:val="clear" w:color="auto" w:fill="FFFFFF"/>
        </w:rPr>
        <w:t>4.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综合题样例</w:t>
      </w:r>
    </w:p>
    <w:p>
      <w:pPr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某投资公司购买了1800万元市值的股票投资组合，为了规避股市系统性下跌风险，决定用当季中证500股指期货进行对冲，假设该组合相对中证500指数的beta是1.5，目前当季中证500股指期货价格为5000点/张（每点价值200元）。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（1）该投资公司应用(   )张当季合约进行对冲。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A.12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B.15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C.23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D.27</w:t>
      </w:r>
    </w:p>
    <w:p>
      <w:pPr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答案：D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（2）一周后，股票组合上涨了8%，已卖出开仓的期货合约价格变为了5250点/张。不考虑交易费用和冲击成本，该投资公司的盈亏情况为(   )。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A.盈利9万元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B.亏损9万元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C.盈利18万元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D.亏损18万元</w:t>
      </w:r>
    </w:p>
    <w:p>
      <w:pPr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答案：A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（3）下列关于该投资公司股指期货套保方案的说法，正确的有(   )。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A.同一时期有四种不同到期日的中证500股指期货合约可供选择对冲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B.股票组合的beta会一直不变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C.</w:t>
      </w:r>
      <w:r>
        <w:rPr>
          <w:rFonts w:hint="eastAsia" w:ascii="仿宋_GB2312" w:hAnsi="仿宋_GB2312" w:eastAsia="仿宋_GB2312" w:cs="仿宋_GB2312"/>
          <w:sz w:val="28"/>
          <w:szCs w:val="28"/>
        </w:rPr>
        <w:t>当无风险利率高于中证500指数成分股红利率时，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理论上中证500指数点位低于中证500股指期货点位，但实际中经常相反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D.</w:t>
      </w:r>
      <w:r>
        <w:rPr>
          <w:rFonts w:hint="eastAsia" w:ascii="仿宋_GB2312" w:hAnsi="仿宋_GB2312" w:eastAsia="仿宋_GB2312" w:cs="仿宋_GB2312"/>
          <w:sz w:val="28"/>
          <w:szCs w:val="28"/>
        </w:rPr>
        <w:t>假设基差水平维持不变，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中证500指数成分股红利率越高，越有利于用中证500股指期货进行对冲</w:t>
      </w:r>
    </w:p>
    <w:p>
      <w:pPr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答案：ACD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BmY2JmYjg4MTIyMGE1MGVmNzcyNzc5MjhmOTNkM2MifQ=="/>
  </w:docVars>
  <w:rsids>
    <w:rsidRoot w:val="00AE5871"/>
    <w:rsid w:val="0011286D"/>
    <w:rsid w:val="00166F1E"/>
    <w:rsid w:val="00181690"/>
    <w:rsid w:val="001B3F89"/>
    <w:rsid w:val="001E2297"/>
    <w:rsid w:val="001F0069"/>
    <w:rsid w:val="003546D4"/>
    <w:rsid w:val="0035702B"/>
    <w:rsid w:val="004102C4"/>
    <w:rsid w:val="005800AB"/>
    <w:rsid w:val="005F5AF0"/>
    <w:rsid w:val="006B1095"/>
    <w:rsid w:val="007127C8"/>
    <w:rsid w:val="00822C0C"/>
    <w:rsid w:val="008A619F"/>
    <w:rsid w:val="00A31197"/>
    <w:rsid w:val="00AA0689"/>
    <w:rsid w:val="00AE5871"/>
    <w:rsid w:val="00B22246"/>
    <w:rsid w:val="00BA1400"/>
    <w:rsid w:val="00BE5317"/>
    <w:rsid w:val="00C10DAF"/>
    <w:rsid w:val="00DA3945"/>
    <w:rsid w:val="00ED43A2"/>
    <w:rsid w:val="534E7036"/>
    <w:rsid w:val="78A26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776</Words>
  <Characters>852</Characters>
  <Lines>6</Lines>
  <Paragraphs>1</Paragraphs>
  <TotalTime>61</TotalTime>
  <ScaleCrop>false</ScaleCrop>
  <LinksUpToDate>false</LinksUpToDate>
  <CharactersWithSpaces>894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2023-04-21T08:30:00Z</dcterms:created>
  <dc:creator>周常顺</dc:creator>
  <cp:lastModifiedBy>任中玉</cp:lastModifiedBy>
  <dcterms:modified xsi:type="dcterms:W3CDTF">2023-05-05T01:45:42Z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F3FF2550D7F34E54A1C8590DD102DAC3_12</vt:lpwstr>
  </property>
</Properties>
</file>